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17" w:rsidRPr="00545417" w:rsidRDefault="00545417" w:rsidP="007B69FD">
      <w:pPr>
        <w:pStyle w:val="IEEETitle"/>
        <w:pBdr>
          <w:top w:val="single" w:sz="4" w:space="1" w:color="auto"/>
          <w:bottom w:val="single" w:sz="4" w:space="1" w:color="auto"/>
        </w:pBdr>
        <w:rPr>
          <w:rStyle w:val="shorttext"/>
          <w:i/>
          <w:sz w:val="24"/>
          <w:shd w:val="clear" w:color="auto" w:fill="FFFFFF"/>
          <w:lang w:val="en-ID"/>
        </w:rPr>
      </w:pPr>
      <w:r w:rsidRPr="00545417">
        <w:rPr>
          <w:rStyle w:val="shorttext"/>
          <w:i/>
          <w:sz w:val="24"/>
          <w:shd w:val="clear" w:color="auto" w:fill="FFFFFF"/>
          <w:lang w:val="en-ID"/>
        </w:rPr>
        <w:t>Original Research</w:t>
      </w:r>
    </w:p>
    <w:p w:rsidR="003462F6" w:rsidRPr="00DE07A7" w:rsidRDefault="00831890" w:rsidP="007B69FD">
      <w:pPr>
        <w:pStyle w:val="IEEETitle"/>
        <w:jc w:val="right"/>
        <w:rPr>
          <w:b/>
          <w:sz w:val="40"/>
          <w:lang w:val="id-ID"/>
        </w:rPr>
      </w:pPr>
      <w:r w:rsidRPr="00401E8F">
        <w:rPr>
          <w:b/>
          <w:sz w:val="32"/>
          <w:szCs w:val="32"/>
        </w:rPr>
        <w:t xml:space="preserve">PENERAPAN MODEL </w:t>
      </w:r>
      <w:r w:rsidRPr="00401E8F">
        <w:rPr>
          <w:b/>
          <w:i/>
          <w:sz w:val="32"/>
          <w:szCs w:val="32"/>
        </w:rPr>
        <w:t>PROBLEM BASED LEARNING</w:t>
      </w:r>
      <w:r w:rsidRPr="00401E8F">
        <w:rPr>
          <w:b/>
          <w:sz w:val="32"/>
          <w:szCs w:val="32"/>
        </w:rPr>
        <w:t xml:space="preserve"> UNTUK MENINGKATKAN KEMAMPUAN PEMECAHAN MASALAH MATEMATIS SISWA</w:t>
      </w:r>
    </w:p>
    <w:p w:rsidR="003462F6" w:rsidRPr="00DE07A7" w:rsidRDefault="00795F2A" w:rsidP="007B69FD">
      <w:pPr>
        <w:jc w:val="right"/>
        <w:rPr>
          <w:b/>
          <w:bCs/>
          <w:lang w:val="id-ID"/>
        </w:rPr>
      </w:pPr>
      <w:r>
        <w:rPr>
          <w:b/>
          <w:bCs/>
          <w:lang w:val="en-ID"/>
        </w:rPr>
        <w:t>Rusdian Rifa’i</w:t>
      </w:r>
      <w:r w:rsidR="00DE07A7" w:rsidRPr="00CF3495">
        <w:rPr>
          <w:b/>
          <w:bCs/>
          <w:vertAlign w:val="superscript"/>
          <w:lang w:val="id-ID"/>
        </w:rPr>
        <w:t>1</w:t>
      </w:r>
      <w:r w:rsidR="002F4428">
        <w:rPr>
          <w:b/>
          <w:bCs/>
          <w:vertAlign w:val="superscript"/>
          <w:lang w:val="en-ID"/>
        </w:rPr>
        <w:t>*)</w:t>
      </w:r>
      <w:r w:rsidR="00DE07A7">
        <w:rPr>
          <w:b/>
          <w:bCs/>
          <w:lang w:val="id-ID"/>
        </w:rPr>
        <w:t xml:space="preserve">, </w:t>
      </w:r>
      <w:r>
        <w:rPr>
          <w:b/>
          <w:bCs/>
          <w:lang w:val="en-ID"/>
        </w:rPr>
        <w:t>Deni Pratidiana</w:t>
      </w:r>
      <w:r w:rsidR="00DE07A7" w:rsidRPr="00CF3495">
        <w:rPr>
          <w:b/>
          <w:bCs/>
          <w:vertAlign w:val="superscript"/>
          <w:lang w:val="id-ID"/>
        </w:rPr>
        <w:t>2</w:t>
      </w:r>
      <w:r w:rsidR="00DE07A7">
        <w:rPr>
          <w:b/>
          <w:bCs/>
          <w:lang w:val="id-ID"/>
        </w:rPr>
        <w:t xml:space="preserve">, </w:t>
      </w:r>
      <w:r w:rsidR="00CF3495">
        <w:rPr>
          <w:b/>
          <w:bCs/>
          <w:lang w:val="en-ID"/>
        </w:rPr>
        <w:t xml:space="preserve">&amp; </w:t>
      </w:r>
      <w:r w:rsidR="00E93E1B">
        <w:rPr>
          <w:b/>
          <w:bCs/>
          <w:lang w:val="en-ID"/>
        </w:rPr>
        <w:t>Septiani</w:t>
      </w:r>
      <w:r>
        <w:rPr>
          <w:b/>
          <w:bCs/>
          <w:lang w:val="en-ID"/>
        </w:rPr>
        <w:t xml:space="preserve"> Dwi Arifiyanti</w:t>
      </w:r>
      <w:r w:rsidR="00DE07A7" w:rsidRPr="00CF3495">
        <w:rPr>
          <w:b/>
          <w:bCs/>
          <w:vertAlign w:val="superscript"/>
          <w:lang w:val="id-ID"/>
        </w:rPr>
        <w:t>3</w:t>
      </w:r>
    </w:p>
    <w:p w:rsidR="003462F6" w:rsidRPr="005B3934" w:rsidRDefault="003462F6" w:rsidP="007B69FD">
      <w:pPr>
        <w:jc w:val="right"/>
        <w:rPr>
          <w:lang w:val="en-US"/>
        </w:rPr>
      </w:pPr>
      <w:r w:rsidRPr="002F22F8">
        <w:rPr>
          <w:sz w:val="18"/>
          <w:szCs w:val="18"/>
          <w:vertAlign w:val="superscript"/>
        </w:rPr>
        <w:t>1</w:t>
      </w:r>
      <w:r w:rsidR="00795F2A">
        <w:rPr>
          <w:sz w:val="18"/>
          <w:szCs w:val="18"/>
        </w:rPr>
        <w:t>Universitas Mathla’ul Anwar</w:t>
      </w:r>
      <w:r w:rsidR="00CF3495">
        <w:rPr>
          <w:sz w:val="18"/>
          <w:szCs w:val="18"/>
        </w:rPr>
        <w:t xml:space="preserve">, </w:t>
      </w:r>
      <w:r w:rsidRPr="002F22F8">
        <w:rPr>
          <w:sz w:val="18"/>
          <w:szCs w:val="18"/>
          <w:vertAlign w:val="superscript"/>
        </w:rPr>
        <w:t>2</w:t>
      </w:r>
      <w:r w:rsidR="00795F2A">
        <w:rPr>
          <w:sz w:val="18"/>
          <w:szCs w:val="18"/>
        </w:rPr>
        <w:t>Universitas Mathla’ul Anwar</w:t>
      </w:r>
      <w:r w:rsidR="00CF3495">
        <w:rPr>
          <w:sz w:val="18"/>
          <w:szCs w:val="18"/>
        </w:rPr>
        <w:t xml:space="preserve">, </w:t>
      </w:r>
      <w:r w:rsidR="00806136" w:rsidRPr="00806136">
        <w:rPr>
          <w:sz w:val="18"/>
          <w:szCs w:val="18"/>
          <w:vertAlign w:val="superscript"/>
        </w:rPr>
        <w:t>3</w:t>
      </w:r>
      <w:r w:rsidR="00795F2A">
        <w:rPr>
          <w:sz w:val="18"/>
          <w:szCs w:val="18"/>
        </w:rPr>
        <w:t>Universitas Mathla’ul Anwar</w:t>
      </w:r>
    </w:p>
    <w:p w:rsidR="003462F6" w:rsidRDefault="003462F6" w:rsidP="007B69FD"/>
    <w:p w:rsidR="003462F6" w:rsidRDefault="003462F6" w:rsidP="007B69FD">
      <w:pPr>
        <w:sectPr w:rsidR="003462F6" w:rsidSect="003A064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431" w:gutter="0"/>
          <w:cols w:space="708"/>
          <w:titlePg/>
          <w:docGrid w:linePitch="360"/>
        </w:sectPr>
      </w:pPr>
    </w:p>
    <w:p w:rsidR="003462F6" w:rsidRPr="00971EBF" w:rsidRDefault="003462F6" w:rsidP="007B69FD">
      <w:pPr>
        <w:pStyle w:val="IEEEAbtract"/>
        <w:ind w:left="1985" w:right="1779"/>
        <w:rPr>
          <w:lang w:val="id-ID"/>
        </w:rPr>
      </w:pPr>
    </w:p>
    <w:tbl>
      <w:tblPr>
        <w:tblStyle w:val="TableGrid"/>
        <w:tblW w:w="5000" w:type="pct"/>
        <w:jc w:val="center"/>
        <w:tblLook w:val="04A0" w:firstRow="1" w:lastRow="0" w:firstColumn="1" w:lastColumn="0" w:noHBand="0" w:noVBand="1"/>
      </w:tblPr>
      <w:tblGrid>
        <w:gridCol w:w="2855"/>
        <w:gridCol w:w="288"/>
        <w:gridCol w:w="6711"/>
      </w:tblGrid>
      <w:tr w:rsidR="003462F6" w:rsidRPr="00521ED0" w:rsidTr="00AF26E6">
        <w:trPr>
          <w:trHeight w:val="135"/>
          <w:jc w:val="center"/>
        </w:trPr>
        <w:tc>
          <w:tcPr>
            <w:tcW w:w="1449" w:type="pct"/>
            <w:tcBorders>
              <w:top w:val="double" w:sz="4" w:space="0" w:color="auto"/>
              <w:left w:val="nil"/>
              <w:bottom w:val="single" w:sz="4" w:space="0" w:color="auto"/>
              <w:right w:val="nil"/>
            </w:tcBorders>
            <w:vAlign w:val="center"/>
          </w:tcPr>
          <w:p w:rsidR="003462F6" w:rsidRPr="00521ED0" w:rsidRDefault="003462F6" w:rsidP="007B69FD">
            <w:pPr>
              <w:rPr>
                <w:b/>
                <w:sz w:val="18"/>
                <w:szCs w:val="18"/>
              </w:rPr>
            </w:pPr>
            <w:r w:rsidRPr="00521ED0">
              <w:rPr>
                <w:b/>
                <w:sz w:val="18"/>
                <w:szCs w:val="18"/>
              </w:rPr>
              <w:t>INFO ARTICLES</w:t>
            </w:r>
          </w:p>
        </w:tc>
        <w:tc>
          <w:tcPr>
            <w:tcW w:w="146" w:type="pct"/>
            <w:tcBorders>
              <w:top w:val="double" w:sz="4" w:space="0" w:color="auto"/>
              <w:left w:val="nil"/>
              <w:bottom w:val="nil"/>
              <w:right w:val="nil"/>
            </w:tcBorders>
            <w:vAlign w:val="center"/>
          </w:tcPr>
          <w:p w:rsidR="003462F6" w:rsidRPr="00521ED0" w:rsidRDefault="003462F6" w:rsidP="007B69FD">
            <w:pPr>
              <w:rPr>
                <w:sz w:val="18"/>
                <w:szCs w:val="18"/>
              </w:rPr>
            </w:pPr>
          </w:p>
        </w:tc>
        <w:tc>
          <w:tcPr>
            <w:tcW w:w="3405" w:type="pct"/>
            <w:tcBorders>
              <w:top w:val="double" w:sz="4" w:space="0" w:color="auto"/>
              <w:left w:val="nil"/>
              <w:bottom w:val="nil"/>
              <w:right w:val="nil"/>
            </w:tcBorders>
            <w:vAlign w:val="center"/>
          </w:tcPr>
          <w:p w:rsidR="003462F6" w:rsidRPr="00521ED0" w:rsidRDefault="003462F6" w:rsidP="007B69FD">
            <w:pPr>
              <w:jc w:val="center"/>
              <w:rPr>
                <w:color w:val="000000"/>
                <w:sz w:val="18"/>
                <w:szCs w:val="18"/>
              </w:rPr>
            </w:pPr>
          </w:p>
        </w:tc>
      </w:tr>
      <w:tr w:rsidR="003462F6" w:rsidRPr="00521ED0" w:rsidTr="00AF26E6">
        <w:trPr>
          <w:trHeight w:val="1268"/>
          <w:jc w:val="center"/>
        </w:trPr>
        <w:tc>
          <w:tcPr>
            <w:tcW w:w="1449" w:type="pct"/>
            <w:tcBorders>
              <w:top w:val="single" w:sz="4" w:space="0" w:color="auto"/>
              <w:left w:val="nil"/>
              <w:bottom w:val="single" w:sz="4" w:space="0" w:color="auto"/>
              <w:right w:val="nil"/>
            </w:tcBorders>
          </w:tcPr>
          <w:p w:rsidR="003462F6" w:rsidRPr="00521ED0" w:rsidRDefault="003462F6" w:rsidP="007B69FD">
            <w:pPr>
              <w:jc w:val="both"/>
              <w:rPr>
                <w:b/>
                <w:i/>
                <w:sz w:val="18"/>
                <w:szCs w:val="18"/>
              </w:rPr>
            </w:pPr>
            <w:r w:rsidRPr="00521ED0">
              <w:rPr>
                <w:b/>
                <w:i/>
                <w:sz w:val="18"/>
                <w:szCs w:val="18"/>
              </w:rPr>
              <w:t xml:space="preserve">Article </w:t>
            </w:r>
            <w:r w:rsidR="0038398D">
              <w:rPr>
                <w:b/>
                <w:i/>
                <w:sz w:val="18"/>
                <w:szCs w:val="18"/>
              </w:rPr>
              <w:t>H</w:t>
            </w:r>
            <w:r w:rsidRPr="00521ED0">
              <w:rPr>
                <w:b/>
                <w:i/>
                <w:sz w:val="18"/>
                <w:szCs w:val="18"/>
              </w:rPr>
              <w:t>istory:</w:t>
            </w:r>
          </w:p>
          <w:p w:rsidR="003462F6" w:rsidRDefault="003462F6" w:rsidP="007B69FD">
            <w:pPr>
              <w:jc w:val="both"/>
              <w:rPr>
                <w:sz w:val="18"/>
                <w:szCs w:val="18"/>
              </w:rPr>
            </w:pPr>
            <w:r>
              <w:rPr>
                <w:sz w:val="18"/>
                <w:szCs w:val="18"/>
              </w:rPr>
              <w:t>Received: Day-Month-Year</w:t>
            </w:r>
          </w:p>
          <w:p w:rsidR="00AF26E6" w:rsidRPr="00521ED0" w:rsidRDefault="00AF26E6" w:rsidP="007B69FD">
            <w:pPr>
              <w:jc w:val="both"/>
              <w:rPr>
                <w:sz w:val="18"/>
                <w:szCs w:val="18"/>
              </w:rPr>
            </w:pPr>
            <w:r>
              <w:rPr>
                <w:sz w:val="18"/>
                <w:szCs w:val="18"/>
              </w:rPr>
              <w:t>Revised: Day-Month-Year</w:t>
            </w:r>
          </w:p>
          <w:p w:rsidR="00AF26E6" w:rsidRPr="00521ED0" w:rsidRDefault="00AF26E6" w:rsidP="007B69FD">
            <w:pPr>
              <w:jc w:val="both"/>
              <w:rPr>
                <w:sz w:val="18"/>
                <w:szCs w:val="18"/>
              </w:rPr>
            </w:pPr>
            <w:r>
              <w:rPr>
                <w:sz w:val="18"/>
                <w:szCs w:val="18"/>
              </w:rPr>
              <w:t>Approved: Day-Month-Year</w:t>
            </w:r>
          </w:p>
          <w:p w:rsidR="003462F6" w:rsidRPr="00521ED0" w:rsidRDefault="00AF26E6" w:rsidP="007B69FD">
            <w:pPr>
              <w:jc w:val="both"/>
              <w:rPr>
                <w:sz w:val="18"/>
                <w:szCs w:val="18"/>
              </w:rPr>
            </w:pPr>
            <w:r>
              <w:rPr>
                <w:sz w:val="18"/>
                <w:szCs w:val="18"/>
              </w:rPr>
              <w:t>Publish Online</w:t>
            </w:r>
            <w:r w:rsidR="003462F6">
              <w:rPr>
                <w:sz w:val="18"/>
                <w:szCs w:val="18"/>
              </w:rPr>
              <w:t>: Day-Month-Year</w:t>
            </w:r>
          </w:p>
          <w:p w:rsidR="003462F6" w:rsidRPr="00521ED0" w:rsidRDefault="003462F6" w:rsidP="007B69FD">
            <w:pPr>
              <w:jc w:val="both"/>
              <w:rPr>
                <w:sz w:val="18"/>
                <w:szCs w:val="18"/>
              </w:rPr>
            </w:pPr>
          </w:p>
        </w:tc>
        <w:tc>
          <w:tcPr>
            <w:tcW w:w="146" w:type="pct"/>
            <w:vMerge w:val="restart"/>
            <w:tcBorders>
              <w:top w:val="nil"/>
              <w:left w:val="nil"/>
              <w:bottom w:val="nil"/>
              <w:right w:val="nil"/>
            </w:tcBorders>
          </w:tcPr>
          <w:p w:rsidR="003462F6" w:rsidRPr="00521ED0" w:rsidRDefault="003462F6" w:rsidP="007B69FD">
            <w:pPr>
              <w:jc w:val="both"/>
              <w:rPr>
                <w:sz w:val="18"/>
                <w:szCs w:val="18"/>
              </w:rPr>
            </w:pPr>
          </w:p>
        </w:tc>
        <w:tc>
          <w:tcPr>
            <w:tcW w:w="3405" w:type="pct"/>
            <w:vMerge w:val="restart"/>
            <w:tcBorders>
              <w:top w:val="nil"/>
              <w:left w:val="nil"/>
              <w:right w:val="nil"/>
            </w:tcBorders>
          </w:tcPr>
          <w:p w:rsidR="005F44B6" w:rsidRDefault="003462F6" w:rsidP="00616C67">
            <w:pPr>
              <w:ind w:right="140"/>
              <w:jc w:val="both"/>
              <w:rPr>
                <w:sz w:val="20"/>
                <w:szCs w:val="20"/>
              </w:rPr>
            </w:pPr>
            <w:r w:rsidRPr="00440CAC">
              <w:rPr>
                <w:b/>
                <w:iCs/>
                <w:sz w:val="20"/>
                <w:szCs w:val="20"/>
                <w:lang w:val="id-ID"/>
              </w:rPr>
              <w:t>Abstra</w:t>
            </w:r>
            <w:r w:rsidR="00401EBD" w:rsidRPr="00440CAC">
              <w:rPr>
                <w:b/>
                <w:iCs/>
                <w:sz w:val="20"/>
                <w:szCs w:val="20"/>
                <w:lang w:val="en-ID"/>
              </w:rPr>
              <w:t>k</w:t>
            </w:r>
            <w:r w:rsidRPr="00440CAC">
              <w:rPr>
                <w:b/>
                <w:iCs/>
                <w:sz w:val="20"/>
                <w:szCs w:val="20"/>
                <w:lang w:val="id-ID"/>
              </w:rPr>
              <w:t>:</w:t>
            </w:r>
            <w:r w:rsidRPr="00440CAC">
              <w:rPr>
                <w:i/>
                <w:iCs/>
                <w:sz w:val="20"/>
                <w:szCs w:val="20"/>
                <w:lang w:val="id-ID"/>
              </w:rPr>
              <w:t xml:space="preserve"> </w:t>
            </w:r>
            <w:r w:rsidR="004B545D" w:rsidRPr="00401E8F">
              <w:rPr>
                <w:sz w:val="20"/>
                <w:szCs w:val="20"/>
              </w:rPr>
              <w:t>Penelitian ini bertujuan untuk mengetahui ada atau tidaknya peningkatan kemampuan pemecahan masalah matematis siswa setelah menerapkan model Problem Based Learning. Metode yang digunakan dalam penelitian ini adalah metode quasi eksperimen. Pengambilan sampel dilakukan dengan teknik Simple Random Sampling dengan jumlah populasi sebanyak 66 siswa, dan sample yang digunakan sebanyak 40 siswa yang berasal dari kelas X A sebagai kelas eksperimen dan X B sebagai kelas kontrol. Instrumen penelitian yang digunakan berupa tes uraian (essay) yang dibuat berdasarkan indikator kemampuan pemecahan masalah matematis. Berdasarkan analisis data dengan metode pengujian ANOVA satu jalur untuk menguji hipotesis yang diajukan, diperoleh hasil dengan nilai (F</w:t>
            </w:r>
            <w:r w:rsidR="004B545D" w:rsidRPr="00401E8F">
              <w:rPr>
                <w:sz w:val="20"/>
                <w:szCs w:val="20"/>
                <w:vertAlign w:val="subscript"/>
              </w:rPr>
              <w:t>hitung</w:t>
            </w:r>
            <w:r w:rsidR="004B545D" w:rsidRPr="00401E8F">
              <w:rPr>
                <w:sz w:val="20"/>
                <w:szCs w:val="20"/>
              </w:rPr>
              <w:t xml:space="preserve"> = </w:t>
            </w:r>
            <m:oMath>
              <m:r>
                <m:rPr>
                  <m:sty m:val="p"/>
                </m:rPr>
                <w:rPr>
                  <w:rFonts w:ascii="Cambria Math" w:hAnsi="Cambria Math"/>
                  <w:sz w:val="20"/>
                  <w:szCs w:val="20"/>
                </w:rPr>
                <m:t xml:space="preserve">19,283  </m:t>
              </m:r>
            </m:oMath>
            <w:r w:rsidR="004B545D" w:rsidRPr="00401E8F">
              <w:rPr>
                <w:sz w:val="20"/>
                <w:szCs w:val="20"/>
              </w:rPr>
              <w:t>&gt; F</w:t>
            </w:r>
            <w:r w:rsidR="004B545D" w:rsidRPr="00401E8F">
              <w:rPr>
                <w:sz w:val="20"/>
                <w:szCs w:val="20"/>
                <w:vertAlign w:val="subscript"/>
              </w:rPr>
              <w:t xml:space="preserve">tabel </w:t>
            </w:r>
            <w:r w:rsidR="004B545D" w:rsidRPr="00401E8F">
              <w:rPr>
                <w:sz w:val="20"/>
                <w:szCs w:val="20"/>
              </w:rPr>
              <w:t>=</w:t>
            </w:r>
            <m:oMath>
              <m:r>
                <m:rPr>
                  <m:sty m:val="p"/>
                </m:rPr>
                <w:rPr>
                  <w:rFonts w:ascii="Cambria Math" w:hAnsi="Cambria Math"/>
                  <w:sz w:val="20"/>
                  <w:szCs w:val="20"/>
                </w:rPr>
                <m:t xml:space="preserve"> 4,10</m:t>
              </m:r>
            </m:oMath>
            <w:r w:rsidR="004B545D" w:rsidRPr="00401E8F">
              <w:rPr>
                <w:sz w:val="20"/>
                <w:szCs w:val="20"/>
              </w:rPr>
              <w:t>) pada taraf signifikansi 5%, maka H</w:t>
            </w:r>
            <w:r w:rsidR="004B545D" w:rsidRPr="00401E8F">
              <w:rPr>
                <w:sz w:val="20"/>
                <w:szCs w:val="20"/>
                <w:vertAlign w:val="subscript"/>
              </w:rPr>
              <w:t>0</w:t>
            </w:r>
            <w:r w:rsidR="004B545D" w:rsidRPr="00401E8F">
              <w:rPr>
                <w:sz w:val="20"/>
                <w:szCs w:val="20"/>
              </w:rPr>
              <w:t xml:space="preserve"> ditolak, sehingga dapat disimpulkan bahwa terdapat perbedaan peningkatan kemampuan pemecahan masalah matematis siswa antara kelas yang diajarkan dengan model Problem Based Learning dan model pembelajaran konvensional.</w:t>
            </w:r>
          </w:p>
          <w:p w:rsidR="00616C67" w:rsidRDefault="00616C67" w:rsidP="00616C67">
            <w:pPr>
              <w:ind w:right="140"/>
              <w:jc w:val="both"/>
              <w:rPr>
                <w:sz w:val="20"/>
                <w:szCs w:val="20"/>
              </w:rPr>
            </w:pPr>
          </w:p>
          <w:p w:rsidR="00616C67" w:rsidRPr="00616C67" w:rsidRDefault="00616C67" w:rsidP="00616C67">
            <w:pPr>
              <w:ind w:right="140"/>
              <w:jc w:val="both"/>
              <w:rPr>
                <w:color w:val="FF0000"/>
                <w:sz w:val="20"/>
                <w:szCs w:val="20"/>
                <w:lang w:val="en-US"/>
              </w:rPr>
            </w:pPr>
            <w:r w:rsidRPr="00616C67">
              <w:rPr>
                <w:b/>
                <w:i/>
                <w:sz w:val="20"/>
                <w:szCs w:val="20"/>
              </w:rPr>
              <w:t xml:space="preserve">Abstract: </w:t>
            </w:r>
            <w:r w:rsidRPr="00616C67">
              <w:rPr>
                <w:i/>
                <w:sz w:val="20"/>
                <w:szCs w:val="20"/>
              </w:rPr>
              <w:t>This study aims to determine whether or not there is an increase in students' mathematical problem solving abilities after applying the Problem Based Learning model. The method used in this study is a quasi-experimental method. Sampling was done by simple random sampling technique with a population of 66 students, and the sample used was 40 students who came from class X A as an experimental class and X B as a control class. The research instrument used was an essay test based on indicators of mathematical problem solving ability. Based on data analysis using the one-way ANOVA test method to test the proposed hypothesis, the results obtained with the value (Fcount = 19.283&gt; Ftable = 4.10) at a significance level of 5%, then H0 is rejected, so it can be concluded that there are differences in the increase in problem solving abilities mathematical students between classes taught with the Problem Based Learning model and conventional learning models.</w:t>
            </w:r>
          </w:p>
        </w:tc>
      </w:tr>
      <w:tr w:rsidR="003462F6" w:rsidRPr="00521ED0" w:rsidTr="00CF3495">
        <w:trPr>
          <w:trHeight w:val="2905"/>
          <w:jc w:val="center"/>
        </w:trPr>
        <w:tc>
          <w:tcPr>
            <w:tcW w:w="1449" w:type="pct"/>
            <w:tcBorders>
              <w:top w:val="single" w:sz="4" w:space="0" w:color="auto"/>
              <w:left w:val="nil"/>
              <w:bottom w:val="single" w:sz="4" w:space="0" w:color="auto"/>
              <w:right w:val="nil"/>
            </w:tcBorders>
          </w:tcPr>
          <w:p w:rsidR="003462F6" w:rsidRPr="00521ED0" w:rsidRDefault="003462F6" w:rsidP="007B69FD">
            <w:pPr>
              <w:jc w:val="both"/>
              <w:rPr>
                <w:b/>
                <w:i/>
                <w:sz w:val="18"/>
                <w:szCs w:val="18"/>
              </w:rPr>
            </w:pPr>
            <w:r w:rsidRPr="00521ED0">
              <w:rPr>
                <w:b/>
                <w:i/>
                <w:sz w:val="18"/>
                <w:szCs w:val="18"/>
              </w:rPr>
              <w:t>Key</w:t>
            </w:r>
            <w:r w:rsidR="00AF26E6">
              <w:rPr>
                <w:b/>
                <w:i/>
                <w:sz w:val="18"/>
                <w:szCs w:val="18"/>
              </w:rPr>
              <w:t xml:space="preserve"> </w:t>
            </w:r>
            <w:r w:rsidR="0038398D">
              <w:rPr>
                <w:b/>
                <w:i/>
                <w:sz w:val="18"/>
                <w:szCs w:val="18"/>
              </w:rPr>
              <w:t>W</w:t>
            </w:r>
            <w:r w:rsidRPr="00521ED0">
              <w:rPr>
                <w:b/>
                <w:i/>
                <w:sz w:val="18"/>
                <w:szCs w:val="18"/>
              </w:rPr>
              <w:t>ords:</w:t>
            </w:r>
          </w:p>
          <w:p w:rsidR="003462F6" w:rsidRPr="004B545D" w:rsidRDefault="000D7085" w:rsidP="007B69FD">
            <w:pPr>
              <w:jc w:val="both"/>
              <w:rPr>
                <w:sz w:val="18"/>
                <w:szCs w:val="18"/>
                <w:lang w:val="id-ID"/>
              </w:rPr>
            </w:pPr>
            <w:r>
              <w:rPr>
                <w:i/>
                <w:sz w:val="20"/>
                <w:szCs w:val="20"/>
              </w:rPr>
              <w:t xml:space="preserve">Problem </w:t>
            </w:r>
            <w:r w:rsidR="00616C67">
              <w:rPr>
                <w:i/>
                <w:sz w:val="20"/>
                <w:szCs w:val="20"/>
              </w:rPr>
              <w:t xml:space="preserve">based learning, </w:t>
            </w:r>
            <w:r w:rsidR="00616C67" w:rsidRPr="00616C67">
              <w:rPr>
                <w:sz w:val="20"/>
                <w:szCs w:val="20"/>
              </w:rPr>
              <w:t>kemampuan pemecahan masalah matematis</w:t>
            </w:r>
          </w:p>
          <w:p w:rsidR="00CF3495" w:rsidRDefault="00CF3495" w:rsidP="007B69FD">
            <w:pPr>
              <w:jc w:val="both"/>
              <w:rPr>
                <w:b/>
                <w:i/>
                <w:sz w:val="18"/>
                <w:szCs w:val="18"/>
              </w:rPr>
            </w:pPr>
          </w:p>
          <w:p w:rsidR="00CF3495" w:rsidRDefault="00CF3495" w:rsidP="007B69FD">
            <w:pPr>
              <w:jc w:val="both"/>
              <w:rPr>
                <w:b/>
                <w:i/>
                <w:sz w:val="18"/>
                <w:szCs w:val="18"/>
              </w:rPr>
            </w:pPr>
          </w:p>
          <w:p w:rsidR="00CF3495" w:rsidRDefault="00CF3495" w:rsidP="007B69FD">
            <w:pPr>
              <w:jc w:val="both"/>
              <w:rPr>
                <w:b/>
                <w:i/>
                <w:sz w:val="18"/>
                <w:szCs w:val="18"/>
              </w:rPr>
            </w:pPr>
          </w:p>
          <w:p w:rsidR="00CF3495" w:rsidRPr="000E0122" w:rsidRDefault="00CF3495" w:rsidP="007B69FD">
            <w:pPr>
              <w:pBdr>
                <w:top w:val="single" w:sz="4" w:space="1" w:color="auto"/>
                <w:bottom w:val="single" w:sz="4" w:space="1" w:color="auto"/>
              </w:pBdr>
              <w:jc w:val="both"/>
              <w:rPr>
                <w:rFonts w:ascii="Palatino Linotype" w:eastAsia="Calibri" w:hAnsi="Palatino Linotype" w:cs="Calibri"/>
                <w:sz w:val="14"/>
                <w:szCs w:val="18"/>
                <w:lang w:val="en-US" w:eastAsia="en-US"/>
              </w:rPr>
            </w:pPr>
            <w:r w:rsidRPr="000E0122">
              <w:rPr>
                <w:rFonts w:ascii="Palatino Linotype" w:eastAsia="Calibri" w:hAnsi="Palatino Linotype" w:cs="Calibri"/>
                <w:noProof/>
                <w:sz w:val="18"/>
                <w:szCs w:val="18"/>
                <w:lang w:val="en-US" w:eastAsia="en-US"/>
              </w:rPr>
              <w:drawing>
                <wp:inline distT="0" distB="0" distL="0" distR="0">
                  <wp:extent cx="680313" cy="239547"/>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735" cy="250611"/>
                          </a:xfrm>
                          <a:prstGeom prst="rect">
                            <a:avLst/>
                          </a:prstGeom>
                          <a:noFill/>
                          <a:ln>
                            <a:noFill/>
                          </a:ln>
                        </pic:spPr>
                      </pic:pic>
                    </a:graphicData>
                  </a:graphic>
                </wp:inline>
              </w:drawing>
            </w:r>
            <w:r w:rsidRPr="000E0122">
              <w:rPr>
                <w:rFonts w:ascii="Palatino Linotype" w:eastAsia="Calibri" w:hAnsi="Palatino Linotype" w:cs="Calibri"/>
                <w:sz w:val="18"/>
                <w:szCs w:val="18"/>
                <w:lang w:val="en-US" w:eastAsia="en-US"/>
              </w:rPr>
              <w:t xml:space="preserve">  </w:t>
            </w:r>
            <w:r w:rsidRPr="000E0122">
              <w:rPr>
                <w:rFonts w:ascii="Palatino Linotype" w:eastAsia="Calibri" w:hAnsi="Palatino Linotype" w:cs="Calibri"/>
                <w:sz w:val="14"/>
                <w:szCs w:val="18"/>
                <w:lang w:val="en-US" w:eastAsia="en-US"/>
              </w:rPr>
              <w:t xml:space="preserve">This </w:t>
            </w:r>
            <w:r w:rsidR="00910677">
              <w:rPr>
                <w:rFonts w:ascii="Palatino Linotype" w:eastAsia="Calibri" w:hAnsi="Palatino Linotype" w:cs="Calibri"/>
                <w:sz w:val="14"/>
                <w:szCs w:val="18"/>
                <w:lang w:val="en-US" w:eastAsia="en-US"/>
              </w:rPr>
              <w:t>a</w:t>
            </w:r>
            <w:r w:rsidR="004555B8">
              <w:rPr>
                <w:rFonts w:ascii="Palatino Linotype" w:eastAsia="Calibri" w:hAnsi="Palatino Linotype" w:cs="Calibri"/>
                <w:sz w:val="14"/>
                <w:szCs w:val="18"/>
                <w:lang w:val="en-US" w:eastAsia="en-US"/>
              </w:rPr>
              <w:t>rticle</w:t>
            </w:r>
            <w:r w:rsidRPr="000E0122">
              <w:rPr>
                <w:rFonts w:ascii="Palatino Linotype" w:eastAsia="Calibri" w:hAnsi="Palatino Linotype" w:cs="Calibri"/>
                <w:sz w:val="14"/>
                <w:szCs w:val="18"/>
                <w:lang w:val="en-US" w:eastAsia="en-US"/>
              </w:rPr>
              <w:t xml:space="preserve"> is licensed under a Creative Commons Attribution-ShareAlike 4.0 International License.</w:t>
            </w:r>
          </w:p>
          <w:p w:rsidR="00CF3495" w:rsidRPr="00910677" w:rsidRDefault="00CF3495" w:rsidP="007B69FD">
            <w:pPr>
              <w:jc w:val="both"/>
              <w:rPr>
                <w:sz w:val="18"/>
                <w:szCs w:val="18"/>
              </w:rPr>
            </w:pPr>
          </w:p>
        </w:tc>
        <w:tc>
          <w:tcPr>
            <w:tcW w:w="146" w:type="pct"/>
            <w:vMerge/>
            <w:tcBorders>
              <w:top w:val="nil"/>
              <w:left w:val="nil"/>
              <w:bottom w:val="nil"/>
              <w:right w:val="nil"/>
            </w:tcBorders>
          </w:tcPr>
          <w:p w:rsidR="003462F6" w:rsidRPr="00521ED0" w:rsidRDefault="003462F6" w:rsidP="007B69FD">
            <w:pPr>
              <w:jc w:val="both"/>
              <w:rPr>
                <w:sz w:val="18"/>
                <w:szCs w:val="18"/>
              </w:rPr>
            </w:pPr>
          </w:p>
        </w:tc>
        <w:tc>
          <w:tcPr>
            <w:tcW w:w="3405" w:type="pct"/>
            <w:vMerge/>
            <w:tcBorders>
              <w:left w:val="nil"/>
              <w:bottom w:val="single" w:sz="4" w:space="0" w:color="auto"/>
              <w:right w:val="nil"/>
            </w:tcBorders>
          </w:tcPr>
          <w:p w:rsidR="003462F6" w:rsidRPr="00521ED0" w:rsidRDefault="003462F6" w:rsidP="007B69FD">
            <w:pPr>
              <w:jc w:val="both"/>
              <w:rPr>
                <w:iCs/>
                <w:color w:val="000000"/>
                <w:sz w:val="18"/>
                <w:szCs w:val="18"/>
              </w:rPr>
            </w:pPr>
          </w:p>
        </w:tc>
      </w:tr>
      <w:tr w:rsidR="003462F6" w:rsidRPr="00521ED0" w:rsidTr="00CF3495">
        <w:trPr>
          <w:jc w:val="center"/>
        </w:trPr>
        <w:tc>
          <w:tcPr>
            <w:tcW w:w="5000" w:type="pct"/>
            <w:gridSpan w:val="3"/>
            <w:tcBorders>
              <w:top w:val="nil"/>
              <w:left w:val="nil"/>
              <w:bottom w:val="double" w:sz="4" w:space="0" w:color="auto"/>
              <w:right w:val="nil"/>
            </w:tcBorders>
          </w:tcPr>
          <w:p w:rsidR="003462F6" w:rsidRPr="00440CAC" w:rsidRDefault="00E101B1" w:rsidP="007B69FD">
            <w:pPr>
              <w:rPr>
                <w:sz w:val="20"/>
                <w:szCs w:val="20"/>
                <w:lang w:val="id-ID"/>
              </w:rPr>
            </w:pPr>
            <w:r w:rsidRPr="00E101B1">
              <w:rPr>
                <w:b/>
                <w:sz w:val="20"/>
                <w:szCs w:val="20"/>
                <w:lang w:val="en-US"/>
              </w:rPr>
              <w:t>Correspondence Address:</w:t>
            </w:r>
            <w:r>
              <w:rPr>
                <w:sz w:val="20"/>
                <w:szCs w:val="20"/>
                <w:lang w:val="en-US"/>
              </w:rPr>
              <w:t xml:space="preserve"> </w:t>
            </w:r>
            <w:r w:rsidR="00401EBD" w:rsidRPr="00440CAC">
              <w:rPr>
                <w:sz w:val="20"/>
                <w:szCs w:val="20"/>
                <w:lang w:val="id-ID"/>
              </w:rPr>
              <w:t>Jl</w:t>
            </w:r>
            <w:r w:rsidR="00F935DF">
              <w:rPr>
                <w:sz w:val="20"/>
                <w:szCs w:val="20"/>
                <w:lang w:val="id-ID"/>
              </w:rPr>
              <w:t>n</w:t>
            </w:r>
            <w:r w:rsidR="00401EBD" w:rsidRPr="00440CAC">
              <w:rPr>
                <w:sz w:val="20"/>
                <w:szCs w:val="20"/>
                <w:lang w:val="id-ID"/>
              </w:rPr>
              <w:t xml:space="preserve">. </w:t>
            </w:r>
            <w:r w:rsidR="00AC6577">
              <w:rPr>
                <w:sz w:val="20"/>
                <w:szCs w:val="20"/>
                <w:lang w:val="en-US"/>
              </w:rPr>
              <w:t xml:space="preserve">Raya Labuan KM. 23, </w:t>
            </w:r>
            <w:r w:rsidR="00AC6577">
              <w:rPr>
                <w:sz w:val="20"/>
                <w:szCs w:val="20"/>
                <w:lang w:val="en-ID"/>
              </w:rPr>
              <w:t>Cikaliung, Saketi</w:t>
            </w:r>
            <w:r w:rsidR="00401EBD" w:rsidRPr="00440CAC">
              <w:rPr>
                <w:sz w:val="20"/>
                <w:szCs w:val="20"/>
                <w:lang w:val="id-ID"/>
              </w:rPr>
              <w:t xml:space="preserve">, </w:t>
            </w:r>
            <w:r w:rsidR="00AC6577">
              <w:rPr>
                <w:sz w:val="20"/>
                <w:szCs w:val="20"/>
                <w:lang w:val="en-US"/>
              </w:rPr>
              <w:t>Pandeglang</w:t>
            </w:r>
            <w:r w:rsidR="00401EBD" w:rsidRPr="00440CAC">
              <w:rPr>
                <w:sz w:val="20"/>
                <w:szCs w:val="20"/>
                <w:lang w:val="id-ID"/>
              </w:rPr>
              <w:t xml:space="preserve">, </w:t>
            </w:r>
            <w:r w:rsidR="00AC6577">
              <w:rPr>
                <w:sz w:val="20"/>
                <w:szCs w:val="20"/>
                <w:lang w:val="en-US"/>
              </w:rPr>
              <w:t>42273</w:t>
            </w:r>
            <w:r w:rsidR="00401EBD" w:rsidRPr="00440CAC">
              <w:rPr>
                <w:sz w:val="20"/>
                <w:szCs w:val="20"/>
                <w:lang w:val="id-ID"/>
              </w:rPr>
              <w:t xml:space="preserve">, </w:t>
            </w:r>
            <w:r w:rsidR="00AC6577">
              <w:rPr>
                <w:sz w:val="20"/>
                <w:szCs w:val="20"/>
                <w:lang w:val="en-US"/>
              </w:rPr>
              <w:t>Indonesia</w:t>
            </w:r>
            <w:r w:rsidR="00401EBD" w:rsidRPr="00440CAC">
              <w:rPr>
                <w:sz w:val="20"/>
                <w:szCs w:val="20"/>
                <w:lang w:val="id-ID"/>
              </w:rPr>
              <w:t xml:space="preserve">; e-mail: </w:t>
            </w:r>
            <w:hyperlink r:id="rId16" w:history="1">
              <w:r w:rsidR="00AC6577" w:rsidRPr="00C43829">
                <w:rPr>
                  <w:rStyle w:val="Hyperlink"/>
                  <w:sz w:val="20"/>
                  <w:szCs w:val="20"/>
                  <w:lang w:val="en-US"/>
                </w:rPr>
                <w:t>rusdianrifai</w:t>
              </w:r>
              <w:r w:rsidR="00AC6577" w:rsidRPr="00C43829">
                <w:rPr>
                  <w:rStyle w:val="Hyperlink"/>
                  <w:sz w:val="20"/>
                  <w:szCs w:val="20"/>
                  <w:lang w:val="id-ID"/>
                </w:rPr>
                <w:t>@</w:t>
              </w:r>
              <w:r w:rsidR="00AC6577" w:rsidRPr="00C43829">
                <w:rPr>
                  <w:rStyle w:val="Hyperlink"/>
                  <w:sz w:val="20"/>
                  <w:szCs w:val="20"/>
                  <w:lang w:val="en-US"/>
                </w:rPr>
                <w:t>gmail.com</w:t>
              </w:r>
            </w:hyperlink>
          </w:p>
          <w:p w:rsidR="005F44B6" w:rsidRPr="00440CAC" w:rsidRDefault="005F44B6" w:rsidP="007B69FD">
            <w:pPr>
              <w:rPr>
                <w:b/>
                <w:color w:val="000000"/>
                <w:sz w:val="20"/>
                <w:szCs w:val="20"/>
              </w:rPr>
            </w:pPr>
          </w:p>
          <w:p w:rsidR="00CF3495" w:rsidRPr="00440CAC" w:rsidRDefault="00E101B1" w:rsidP="007B69FD">
            <w:pPr>
              <w:jc w:val="both"/>
              <w:rPr>
                <w:color w:val="000000"/>
                <w:sz w:val="20"/>
                <w:szCs w:val="20"/>
              </w:rPr>
            </w:pPr>
            <w:r w:rsidRPr="00E101B1">
              <w:rPr>
                <w:b/>
                <w:color w:val="000000"/>
                <w:sz w:val="20"/>
                <w:szCs w:val="20"/>
              </w:rPr>
              <w:t>How to Cite (APA 6</w:t>
            </w:r>
            <w:r w:rsidRPr="00E101B1">
              <w:rPr>
                <w:b/>
                <w:color w:val="000000"/>
                <w:sz w:val="20"/>
                <w:szCs w:val="20"/>
                <w:vertAlign w:val="superscript"/>
              </w:rPr>
              <w:t>th</w:t>
            </w:r>
            <w:r w:rsidRPr="00E101B1">
              <w:rPr>
                <w:b/>
                <w:color w:val="000000"/>
                <w:sz w:val="20"/>
                <w:szCs w:val="20"/>
              </w:rPr>
              <w:t xml:space="preserve"> Style):</w:t>
            </w:r>
            <w:r>
              <w:rPr>
                <w:color w:val="000000"/>
                <w:sz w:val="20"/>
                <w:szCs w:val="20"/>
              </w:rPr>
              <w:t xml:space="preserve"> </w:t>
            </w:r>
            <w:r w:rsidR="00AC6577">
              <w:rPr>
                <w:color w:val="000000"/>
                <w:sz w:val="20"/>
                <w:szCs w:val="20"/>
              </w:rPr>
              <w:t xml:space="preserve">Rifa’i, </w:t>
            </w:r>
            <w:r w:rsidR="0089028D">
              <w:rPr>
                <w:color w:val="000000"/>
                <w:sz w:val="20"/>
                <w:szCs w:val="20"/>
              </w:rPr>
              <w:t>R., Pratidiana, D., Arifiyanti, S.</w:t>
            </w:r>
            <w:r w:rsidR="001502B5">
              <w:rPr>
                <w:color w:val="000000"/>
                <w:sz w:val="20"/>
                <w:szCs w:val="20"/>
              </w:rPr>
              <w:t xml:space="preserve"> </w:t>
            </w:r>
            <w:r w:rsidR="0089028D">
              <w:rPr>
                <w:color w:val="000000"/>
                <w:sz w:val="20"/>
                <w:szCs w:val="20"/>
              </w:rPr>
              <w:t>D</w:t>
            </w:r>
            <w:r w:rsidR="002F4428" w:rsidRPr="00440CAC">
              <w:rPr>
                <w:color w:val="000000"/>
                <w:sz w:val="20"/>
                <w:szCs w:val="20"/>
              </w:rPr>
              <w:t>. (</w:t>
            </w:r>
            <w:r w:rsidR="0089028D">
              <w:rPr>
                <w:color w:val="000000"/>
                <w:sz w:val="20"/>
                <w:szCs w:val="20"/>
              </w:rPr>
              <w:t xml:space="preserve">2019). </w:t>
            </w:r>
            <w:r w:rsidR="0089028D" w:rsidRPr="00B95A0A">
              <w:rPr>
                <w:sz w:val="20"/>
                <w:szCs w:val="20"/>
              </w:rPr>
              <w:t xml:space="preserve">Penerapan Model </w:t>
            </w:r>
            <w:r w:rsidR="0089028D" w:rsidRPr="00B95A0A">
              <w:rPr>
                <w:i/>
                <w:sz w:val="20"/>
                <w:szCs w:val="20"/>
              </w:rPr>
              <w:t>Problem Based Learning</w:t>
            </w:r>
            <w:r w:rsidR="0089028D" w:rsidRPr="00B95A0A">
              <w:rPr>
                <w:sz w:val="20"/>
                <w:szCs w:val="20"/>
              </w:rPr>
              <w:t xml:space="preserve"> Untuk Meningkatkan Kemampuan Pemecahan Masalah Matematis Siswa</w:t>
            </w:r>
            <w:r w:rsidR="002F4428" w:rsidRPr="004D4F51">
              <w:rPr>
                <w:color w:val="000000"/>
                <w:sz w:val="20"/>
                <w:szCs w:val="20"/>
              </w:rPr>
              <w:t>.</w:t>
            </w:r>
            <w:r w:rsidR="002F4428" w:rsidRPr="00440CAC">
              <w:rPr>
                <w:color w:val="000000"/>
                <w:sz w:val="20"/>
                <w:szCs w:val="20"/>
              </w:rPr>
              <w:t xml:space="preserve"> </w:t>
            </w:r>
            <w:r w:rsidR="002F4428" w:rsidRPr="004D4F51">
              <w:rPr>
                <w:i/>
                <w:color w:val="000000"/>
                <w:sz w:val="20"/>
                <w:szCs w:val="20"/>
              </w:rPr>
              <w:t>JKPM</w:t>
            </w:r>
            <w:r w:rsidR="002F4428" w:rsidRPr="00440CAC">
              <w:rPr>
                <w:color w:val="000000"/>
                <w:sz w:val="20"/>
                <w:szCs w:val="20"/>
              </w:rPr>
              <w:t xml:space="preserve"> (</w:t>
            </w:r>
            <w:r w:rsidR="002F4428" w:rsidRPr="004D4F51">
              <w:rPr>
                <w:i/>
                <w:color w:val="000000"/>
                <w:sz w:val="20"/>
                <w:szCs w:val="20"/>
              </w:rPr>
              <w:t>Jurnal Kajian Pendidikan Matematika</w:t>
            </w:r>
            <w:r>
              <w:rPr>
                <w:color w:val="000000"/>
                <w:sz w:val="20"/>
                <w:szCs w:val="20"/>
              </w:rPr>
              <w:t xml:space="preserve">), </w:t>
            </w:r>
            <w:r w:rsidR="00616C67">
              <w:rPr>
                <w:color w:val="000000"/>
                <w:sz w:val="20"/>
                <w:szCs w:val="20"/>
              </w:rPr>
              <w:t>5</w:t>
            </w:r>
            <w:r>
              <w:rPr>
                <w:color w:val="000000"/>
                <w:sz w:val="20"/>
                <w:szCs w:val="20"/>
              </w:rPr>
              <w:t xml:space="preserve"> (1</w:t>
            </w:r>
            <w:r w:rsidR="002F4428" w:rsidRPr="00440CAC">
              <w:rPr>
                <w:color w:val="000000"/>
                <w:sz w:val="20"/>
                <w:szCs w:val="20"/>
              </w:rPr>
              <w:t>)</w:t>
            </w:r>
            <w:r w:rsidR="004D4F51">
              <w:rPr>
                <w:color w:val="000000"/>
                <w:sz w:val="20"/>
                <w:szCs w:val="20"/>
                <w:lang w:val="id-ID"/>
              </w:rPr>
              <w:t>:</w:t>
            </w:r>
            <w:r w:rsidR="002F4428" w:rsidRPr="00440CAC">
              <w:rPr>
                <w:color w:val="000000"/>
                <w:sz w:val="20"/>
                <w:szCs w:val="20"/>
              </w:rPr>
              <w:t xml:space="preserve"> </w:t>
            </w:r>
            <w:r>
              <w:rPr>
                <w:color w:val="000000"/>
                <w:sz w:val="20"/>
                <w:szCs w:val="20"/>
              </w:rPr>
              <w:t>189-196</w:t>
            </w:r>
            <w:r w:rsidR="002F4428" w:rsidRPr="00440CAC">
              <w:rPr>
                <w:color w:val="000000"/>
                <w:sz w:val="20"/>
                <w:szCs w:val="20"/>
              </w:rPr>
              <w:t>.</w:t>
            </w:r>
          </w:p>
          <w:p w:rsidR="005F44B6" w:rsidRPr="00440CAC" w:rsidRDefault="005F44B6" w:rsidP="007B69FD">
            <w:pPr>
              <w:rPr>
                <w:color w:val="000000"/>
                <w:sz w:val="20"/>
                <w:szCs w:val="20"/>
              </w:rPr>
            </w:pPr>
          </w:p>
          <w:p w:rsidR="00910677" w:rsidRPr="00440CAC" w:rsidRDefault="00910677" w:rsidP="007B69FD">
            <w:pPr>
              <w:rPr>
                <w:sz w:val="20"/>
                <w:szCs w:val="20"/>
              </w:rPr>
            </w:pPr>
            <w:r w:rsidRPr="00440CAC">
              <w:rPr>
                <w:b/>
                <w:sz w:val="20"/>
                <w:szCs w:val="20"/>
              </w:rPr>
              <w:t>Copyright</w:t>
            </w:r>
            <w:r w:rsidR="005F44B6" w:rsidRPr="00440CAC">
              <w:rPr>
                <w:b/>
                <w:sz w:val="20"/>
                <w:szCs w:val="20"/>
              </w:rPr>
              <w:t>:</w:t>
            </w:r>
            <w:r w:rsidR="009E29F8">
              <w:rPr>
                <w:sz w:val="20"/>
                <w:szCs w:val="20"/>
              </w:rPr>
              <w:t xml:space="preserve"> </w:t>
            </w:r>
            <w:r w:rsidR="00E101B1">
              <w:rPr>
                <w:sz w:val="20"/>
                <w:szCs w:val="20"/>
              </w:rPr>
              <w:t>Rifa’i,</w:t>
            </w:r>
            <w:r w:rsidR="009E29F8">
              <w:rPr>
                <w:sz w:val="20"/>
                <w:szCs w:val="20"/>
              </w:rPr>
              <w:t xml:space="preserve"> (2019</w:t>
            </w:r>
            <w:r w:rsidRPr="00440CAC">
              <w:rPr>
                <w:sz w:val="20"/>
                <w:szCs w:val="20"/>
              </w:rPr>
              <w:t>)</w:t>
            </w:r>
          </w:p>
          <w:p w:rsidR="005F44B6" w:rsidRPr="00440CAC" w:rsidRDefault="005F44B6" w:rsidP="007B69FD">
            <w:pPr>
              <w:rPr>
                <w:color w:val="000000"/>
                <w:sz w:val="20"/>
                <w:szCs w:val="20"/>
              </w:rPr>
            </w:pPr>
          </w:p>
          <w:p w:rsidR="005F44B6" w:rsidRPr="00910677" w:rsidRDefault="00F779FA" w:rsidP="007B69FD">
            <w:pPr>
              <w:jc w:val="both"/>
              <w:rPr>
                <w:color w:val="000000"/>
                <w:sz w:val="18"/>
                <w:szCs w:val="18"/>
              </w:rPr>
            </w:pPr>
            <w:r w:rsidRPr="00440CAC">
              <w:rPr>
                <w:b/>
                <w:color w:val="000000"/>
                <w:sz w:val="20"/>
                <w:szCs w:val="20"/>
                <w:lang w:val="en-US"/>
              </w:rPr>
              <w:t xml:space="preserve">Competing </w:t>
            </w:r>
            <w:r w:rsidR="0038398D" w:rsidRPr="00440CAC">
              <w:rPr>
                <w:b/>
                <w:color w:val="000000"/>
                <w:sz w:val="20"/>
                <w:szCs w:val="20"/>
                <w:lang w:val="en-US"/>
              </w:rPr>
              <w:t>I</w:t>
            </w:r>
            <w:r w:rsidRPr="00440CAC">
              <w:rPr>
                <w:b/>
                <w:color w:val="000000"/>
                <w:sz w:val="20"/>
                <w:szCs w:val="20"/>
                <w:lang w:val="en-US"/>
              </w:rPr>
              <w:t xml:space="preserve">nterests Disclosures: </w:t>
            </w:r>
            <w:r w:rsidRPr="00440CAC">
              <w:rPr>
                <w:color w:val="000000"/>
                <w:sz w:val="20"/>
                <w:szCs w:val="20"/>
                <w:lang w:val="en-US"/>
              </w:rPr>
              <w:t>The authors declare that they have no significant competing financial, professional or personal interests that might have influenced the performance or presentation of the work described in this manuscript.</w:t>
            </w:r>
          </w:p>
        </w:tc>
      </w:tr>
    </w:tbl>
    <w:p w:rsidR="003462F6" w:rsidRPr="00DA4AEE" w:rsidRDefault="003462F6" w:rsidP="007B69FD">
      <w:pPr>
        <w:pStyle w:val="IEEEParagraph"/>
        <w:ind w:firstLine="0"/>
        <w:rPr>
          <w:lang w:val="en-US"/>
        </w:rPr>
        <w:sectPr w:rsidR="003462F6" w:rsidRPr="00DA4AEE" w:rsidSect="003A0644">
          <w:type w:val="continuous"/>
          <w:pgSz w:w="11906" w:h="16838"/>
          <w:pgMar w:top="1134" w:right="1134" w:bottom="1134" w:left="1134" w:header="567" w:footer="431" w:gutter="0"/>
          <w:cols w:space="238"/>
          <w:docGrid w:linePitch="360"/>
        </w:sectPr>
      </w:pPr>
    </w:p>
    <w:p w:rsidR="00545417" w:rsidRPr="002F4428" w:rsidRDefault="0089028D" w:rsidP="007B69FD">
      <w:pPr>
        <w:pStyle w:val="IEEEHeading1"/>
        <w:numPr>
          <w:ilvl w:val="0"/>
          <w:numId w:val="0"/>
        </w:numPr>
        <w:spacing w:before="0" w:after="0"/>
        <w:rPr>
          <w:b/>
          <w:color w:val="FF0000"/>
          <w:sz w:val="24"/>
          <w:szCs w:val="20"/>
          <w:lang w:val="en-ID"/>
        </w:rPr>
      </w:pPr>
      <w:r w:rsidRPr="008B6CB8">
        <w:rPr>
          <w:b/>
          <w:sz w:val="24"/>
        </w:rPr>
        <w:lastRenderedPageBreak/>
        <w:t>PENDAHULUAN</w:t>
      </w:r>
    </w:p>
    <w:p w:rsidR="002F4428" w:rsidRDefault="002F4428" w:rsidP="007B69FD">
      <w:pPr>
        <w:ind w:firstLine="709"/>
        <w:jc w:val="both"/>
        <w:rPr>
          <w:sz w:val="20"/>
          <w:szCs w:val="20"/>
          <w:lang w:val="en-US"/>
        </w:rPr>
      </w:pPr>
    </w:p>
    <w:p w:rsidR="00DB1F0F" w:rsidRDefault="0089028D" w:rsidP="007B69FD">
      <w:pPr>
        <w:autoSpaceDE w:val="0"/>
        <w:autoSpaceDN w:val="0"/>
        <w:adjustRightInd w:val="0"/>
        <w:ind w:firstLine="426"/>
        <w:jc w:val="both"/>
        <w:rPr>
          <w:lang w:val="en-US"/>
        </w:rPr>
      </w:pPr>
      <w:r w:rsidRPr="008B6CB8">
        <w:t>Matematika merupakan salah satu bidang ilmu yang memiliki peranan penting dalam bidang pendidikan. Hal ini dapat dilihat dengan ditetapkannya matematika sebagai salah satu mata pelajaran pokok atau wajib dalam setiap Ujian Nasional (UN) serta dilihat dari jumlah jam mata pelajaran</w:t>
      </w:r>
      <w:r>
        <w:t xml:space="preserve"> </w:t>
      </w:r>
      <w:r w:rsidRPr="008B6CB8">
        <w:t>matematika yang lebih banyak dibandingkan dengan mata pelaja</w:t>
      </w:r>
      <w:r>
        <w:t>ran lainnya.</w:t>
      </w:r>
      <w:r w:rsidR="00DB1F0F">
        <w:rPr>
          <w:lang w:val="en-US"/>
        </w:rPr>
        <w:t xml:space="preserve"> </w:t>
      </w:r>
      <w:r w:rsidRPr="008B6CB8">
        <w:t xml:space="preserve">Pembelajaran matematika memiliki peranan yang sangat penting bagi siswa, yaitu untuk mengembangkan kemampuan berpikir kritis, kretif, analitis, evaluatif, dan argumentatif. Konsep-konsep dalam </w:t>
      </w:r>
      <w:proofErr w:type="gramStart"/>
      <w:r w:rsidRPr="008B6CB8">
        <w:t>ilmu  matematika</w:t>
      </w:r>
      <w:proofErr w:type="gramEnd"/>
      <w:r w:rsidRPr="008B6CB8">
        <w:t xml:space="preserve"> didapat karena proses berpikir</w:t>
      </w:r>
      <w:r w:rsidR="00DB1F0F">
        <w:t xml:space="preserve">. </w:t>
      </w:r>
      <w:r w:rsidR="00DB1F0F" w:rsidRPr="008B6CB8">
        <w:t>Oleh karena itu, logika adalah dasar terbentuknya matematika. Pembelajaran matematika juga memegang peranan sangat penting dalam kehidupan sehari-hari. Berbagai permasalahan dalam kehidupan dapat dipecahkan dengan menggunakan konsep-konsep matematika. Selain itu, banyak bidang ilmu yang sangat memerlukan matematika untuk perkembangannya. Matematika itu bukan pengetahuan yang menyendiri dan dapat sempurna karena dirinya sendiri, tetapi keberadaannya itu untuk membantu manusia dalam memahami dan menguasai permasa</w:t>
      </w:r>
      <w:r w:rsidR="007F3745">
        <w:t xml:space="preserve">lahan sosial, ekonomi, dan alam. </w:t>
      </w:r>
      <w:r w:rsidR="00DB1F0F" w:rsidRPr="008B6CB8">
        <w:t>Peranan matematika sangat penting dalam kehidupan dan pengembangan pengetahuan. Mengingat hal tersebut, sudah seharusnya konsep-konsep yang ada dalam matematika dapat dipelajari dengan ba</w:t>
      </w:r>
      <w:r w:rsidR="00DB1F0F">
        <w:t>ik oleh siswa.</w:t>
      </w:r>
    </w:p>
    <w:p w:rsidR="00DB1F0F" w:rsidRDefault="00DB1F0F" w:rsidP="007B69FD">
      <w:pPr>
        <w:autoSpaceDE w:val="0"/>
        <w:autoSpaceDN w:val="0"/>
        <w:adjustRightInd w:val="0"/>
        <w:ind w:firstLine="426"/>
        <w:jc w:val="both"/>
        <w:rPr>
          <w:lang w:val="en-US"/>
        </w:rPr>
      </w:pPr>
      <w:r w:rsidRPr="008B6CB8">
        <w:t xml:space="preserve">Berbagai alasan tentang pentingnya pembelajaran matematika kepada siswa pada hakikatnya tidak terlepas dari tujuan pembelajaran matematika itu sendiri. </w:t>
      </w:r>
      <w:r w:rsidR="007F3745" w:rsidRPr="008B6CB8">
        <w:t xml:space="preserve">Tujuan </w:t>
      </w:r>
      <w:r w:rsidRPr="008B6CB8">
        <w:t>pembelajaran matematika adalah: (1) melatih cara berpikir dalam nalar atau menarik kesimpulan, misalnya melalui kegiatan penyelidikan, eksplorasi, eksperimen, menunjukkan kesamaan, perbedaan, konsisten dan inkonsisten; (2) mengembangkan aktivitas kreatif yang menyebabkan imajinasi, intuisi</w:t>
      </w:r>
      <w:r>
        <w:t xml:space="preserve">, </w:t>
      </w:r>
      <w:r w:rsidRPr="008B6CB8">
        <w:t>dan penemuan mengembangkan pemikiran divergen, orisinil, rasa ingin tahu, membuat prediksi dan dugaan serta mencoba-coba; (3) mengembangkan kemampuan pemecahan masalah; (4) mengembangkan kemampuan menyampaikan informasi atau mengkomunikasikan gagasan antara lain melalui pembicaraan lisan, catatan, grafik, peta, diagram dalam menjelaskan gagasan.</w:t>
      </w:r>
    </w:p>
    <w:p w:rsidR="00DB1F0F" w:rsidRDefault="00DB1F0F" w:rsidP="007B69FD">
      <w:pPr>
        <w:autoSpaceDE w:val="0"/>
        <w:autoSpaceDN w:val="0"/>
        <w:adjustRightInd w:val="0"/>
        <w:ind w:firstLine="426"/>
        <w:jc w:val="both"/>
        <w:rPr>
          <w:lang w:val="en-US"/>
        </w:rPr>
      </w:pPr>
      <w:r w:rsidRPr="008B6CB8">
        <w:t>Berdasarkan kutipan tersebut, dapat disimpulkan bahwa dengan belajar matematika diharapkan dapat mengembangkan kemampuan berpikir, bernalar, mengkomunikasikan gagasan serta dapat mengembangkan aktivitas kreatif dan pemecahan masalah. Ini menunjukkan bahwa matematika memiliki manfaat dalam mengembangkan kemampuan siswa</w:t>
      </w:r>
      <w:r w:rsidR="001502B5">
        <w:t>,</w:t>
      </w:r>
      <w:r w:rsidRPr="008B6CB8">
        <w:t xml:space="preserve"> sehingga sangat penting untuk dipelajari.</w:t>
      </w:r>
    </w:p>
    <w:p w:rsidR="00DB1F0F" w:rsidRDefault="00DB1F0F" w:rsidP="007B69FD">
      <w:pPr>
        <w:autoSpaceDE w:val="0"/>
        <w:autoSpaceDN w:val="0"/>
        <w:adjustRightInd w:val="0"/>
        <w:ind w:firstLine="426"/>
        <w:jc w:val="both"/>
        <w:rPr>
          <w:lang w:val="en-US"/>
        </w:rPr>
      </w:pPr>
      <w:r w:rsidRPr="008B6CB8">
        <w:t>Melihat betapa pentingnya pembelajaran matematika bagi siswa tidak sejalan dengan kenyataan bahwa kebanyakan siswa di Indonesia menganggap bahwa matematika merupakan pembelajaran yang sangat sulit. Hal ini terbukti dari survei PISA (</w:t>
      </w:r>
      <w:r w:rsidRPr="008B6CB8">
        <w:rPr>
          <w:i/>
        </w:rPr>
        <w:t>Programme For International Student Assesment</w:t>
      </w:r>
      <w:r w:rsidRPr="008B6CB8">
        <w:t>) yang diselenggarakan oleh OECD (</w:t>
      </w:r>
      <w:r w:rsidRPr="008B6CB8">
        <w:rPr>
          <w:i/>
        </w:rPr>
        <w:t>Organization For Economic Cooperation and Development</w:t>
      </w:r>
      <w:r w:rsidRPr="008B6CB8">
        <w:t>) pada tahun 2012 menunjukkan bahwa kemampuan matematika siswa di Indonesia berada pada peringkat 63 dengan skor 371 dari 65 negara, (Azzumarito, 2014: 75). Sejalan dengan itu, hasil PISA tahun 2015 menunjukkan bahwa</w:t>
      </w:r>
      <w:r>
        <w:t xml:space="preserve"> </w:t>
      </w:r>
      <w:r w:rsidRPr="008B6CB8">
        <w:t xml:space="preserve">Indonesia berada pada peringkat  63 dari 70 negara, (Larasati, N. dkk, 2017: 36). Ini membuktikan bahwa kemampuan peserta didik di </w:t>
      </w:r>
      <w:proofErr w:type="gramStart"/>
      <w:r w:rsidRPr="008B6CB8">
        <w:t>Indonesia  masih</w:t>
      </w:r>
      <w:proofErr w:type="gramEnd"/>
      <w:r w:rsidRPr="008B6CB8">
        <w:t xml:space="preserve"> sangat rendah dibandingkan dengan negara maju dan negara berkembang lainnya.</w:t>
      </w:r>
    </w:p>
    <w:p w:rsidR="00DB1F0F" w:rsidRDefault="00DB1F0F" w:rsidP="007B69FD">
      <w:pPr>
        <w:autoSpaceDE w:val="0"/>
        <w:autoSpaceDN w:val="0"/>
        <w:adjustRightInd w:val="0"/>
        <w:ind w:firstLine="426"/>
        <w:jc w:val="both"/>
        <w:rPr>
          <w:lang w:val="en-US"/>
        </w:rPr>
      </w:pPr>
      <w:r w:rsidRPr="008B6CB8">
        <w:t>Kemendiknas (</w:t>
      </w:r>
      <w:r w:rsidR="008D7F4D" w:rsidRPr="008B6CB8">
        <w:t>Larasati</w:t>
      </w:r>
      <w:r w:rsidR="008D7F4D">
        <w:t xml:space="preserve"> dkk, </w:t>
      </w:r>
      <w:r w:rsidRPr="008B6CB8">
        <w:t>2017: 36) menyatakan bahwa dalam menyelesaikan soal-soal PISA, diperlukan kemampuan pemecahan masalah, melaksanakan pemecahan masalah, dan mengecek hasil pemecahan masalah serta diperlukan juga kreativitas yang tinggi. Kemampuan pemecahan masalah merupakan kemampuan yang pada saat ini menjadi fokus utama dalam pembelajaran matematika di berbagai negara.  Namun, kemampuan pemecahan masalah matematis</w:t>
      </w:r>
      <w:r w:rsidR="001502B5">
        <w:t xml:space="preserve"> peserta didik saat ini belum</w:t>
      </w:r>
      <w:r w:rsidRPr="008B6CB8">
        <w:t xml:space="preserve"> sesuai dengan harapan kurikulum dimana pemecahan masalah merupakan fokus utama dalam pembelajaran matematika. Hal ini juga terbukti dari hasil tes belajar siswa MA Annizhomiyyah yang menunjukkan bahwa nilai rata-rata Ujian Akhir </w:t>
      </w:r>
      <w:r w:rsidR="001469E1">
        <w:lastRenderedPageBreak/>
        <w:t>Semester (UAS) siswa kelas XI</w:t>
      </w:r>
      <w:r w:rsidRPr="008B6CB8">
        <w:t xml:space="preserve"> adalah 62,57 dari KKM yang telah ditetapkan yaitu 70. Ini berarti hanya beberapa siswa saja yang nilainya mencapai KKM.</w:t>
      </w:r>
    </w:p>
    <w:p w:rsidR="00DB1F0F" w:rsidRDefault="00DB1F0F" w:rsidP="007B69FD">
      <w:pPr>
        <w:autoSpaceDE w:val="0"/>
        <w:autoSpaceDN w:val="0"/>
        <w:adjustRightInd w:val="0"/>
        <w:ind w:firstLine="426"/>
        <w:jc w:val="both"/>
        <w:rPr>
          <w:lang w:val="en-US"/>
        </w:rPr>
      </w:pPr>
      <w:r w:rsidRPr="008B6CB8">
        <w:t>Sejalan dengan hal tersebut, berdasarkan hasil wawancara dengan salah satu guru matematika di MA Annizhomiyyah yaitu ibu Eneng Jumhuriah, S.Pd menyatakan bahwa kemampuan pemecahan masalah matematika</w:t>
      </w:r>
      <w:r>
        <w:t xml:space="preserve"> </w:t>
      </w:r>
      <w:r w:rsidRPr="008B6CB8">
        <w:t>siswa di sekolah tersebut belum sesuai dengan apa yang diharapkan. Ia menyatakan bahwa ketika guru memberikan contoh soal yang diberikan penyelesaiannya lalu kemudian ia memberikan contoh soal selanjutnya yang harus diselesaikan oleh siswa, siswa tidak mampu menyelesaikan soal tersebut karena soal yang diberikan tidak sesuai dengan contoh yang telah dijelaskan. Hal ini mengakibatkan kurangnya kemampuan pemecahan masalah matematis siswa di sekolah tersbut.</w:t>
      </w:r>
    </w:p>
    <w:p w:rsidR="00DB1F0F" w:rsidRDefault="00DB1F0F" w:rsidP="007B69FD">
      <w:pPr>
        <w:autoSpaceDE w:val="0"/>
        <w:autoSpaceDN w:val="0"/>
        <w:adjustRightInd w:val="0"/>
        <w:ind w:firstLine="426"/>
        <w:jc w:val="both"/>
        <w:rPr>
          <w:lang w:val="en-US"/>
        </w:rPr>
      </w:pPr>
      <w:r w:rsidRPr="008B6CB8">
        <w:t>Untuk mengembangkan kemampuan matematis siswa, lingkungan belajar harus diatur sedemikian rupa sehingga siswa dapat terlinat secara aktif dalam banyak kegiatan matematika yang bermanfaat (Henningsen dan Stein, 1997). Peran guru sangat berharga dalam merancang sebuah proses pembelajaran yang bisa membimbing siswa untuk mengkonstruksi pengetahuannya agar representasi yang dihasilkan sejalan dengan apa yang diharapkan oleh guru serta mampu mengkondisikan siswa agar aktif dalam belajar matematika.</w:t>
      </w:r>
    </w:p>
    <w:p w:rsidR="002D13BA" w:rsidRPr="002D13BA" w:rsidRDefault="00DB1F0F" w:rsidP="007B69FD">
      <w:pPr>
        <w:autoSpaceDE w:val="0"/>
        <w:autoSpaceDN w:val="0"/>
        <w:adjustRightInd w:val="0"/>
        <w:ind w:firstLine="426"/>
        <w:jc w:val="both"/>
        <w:rPr>
          <w:lang w:val="en-US"/>
        </w:rPr>
      </w:pPr>
      <w:r w:rsidRPr="008B6CB8">
        <w:t>Salah satu upaya untuk mengembangkan kemampuan pemecahan masalah adalah dengan memperbaiki proses pembelajaran. Proses pembelajaran dapat diperbaiki dengan me</w:t>
      </w:r>
      <w:r w:rsidR="001502B5">
        <w:t>nggunakan model-model p</w:t>
      </w:r>
      <w:r w:rsidRPr="008B6CB8">
        <w:t>embelajaran yang direkomendasikan para ahli dan peneliti. Salah satu model pembelajaran yang dapat digunakan untuk meningkatkan kemampuan pemecahan masalah adalah</w:t>
      </w:r>
      <w:r w:rsidR="002D13BA">
        <w:t xml:space="preserve"> </w:t>
      </w:r>
      <w:r w:rsidR="002D13BA" w:rsidRPr="008B6CB8">
        <w:rPr>
          <w:i/>
        </w:rPr>
        <w:t>Problem Based Learning</w:t>
      </w:r>
      <w:r w:rsidR="002D13BA">
        <w:t xml:space="preserve"> </w:t>
      </w:r>
      <w:r w:rsidR="002D13BA" w:rsidRPr="008B6CB8">
        <w:t xml:space="preserve">(Ariandi, </w:t>
      </w:r>
      <w:r w:rsidR="002D13BA">
        <w:t>2016</w:t>
      </w:r>
      <w:r w:rsidR="002D13BA" w:rsidRPr="008B6CB8">
        <w:t>: 580)</w:t>
      </w:r>
      <w:r w:rsidR="002D13BA">
        <w:t>.</w:t>
      </w:r>
    </w:p>
    <w:p w:rsidR="002D13BA" w:rsidRDefault="002D13BA" w:rsidP="007B69FD">
      <w:pPr>
        <w:autoSpaceDE w:val="0"/>
        <w:autoSpaceDN w:val="0"/>
        <w:adjustRightInd w:val="0"/>
        <w:ind w:firstLine="426"/>
        <w:jc w:val="both"/>
        <w:rPr>
          <w:lang w:val="en-US"/>
        </w:rPr>
      </w:pPr>
      <w:r w:rsidRPr="008B6CB8">
        <w:rPr>
          <w:i/>
        </w:rPr>
        <w:t>Problem Based Learning</w:t>
      </w:r>
      <w:r w:rsidRPr="008B6CB8">
        <w:t xml:space="preserve"> merupakan suatu model pembelajaran yang menggunakan masalah dunia nyata sebagai konteks bagi siswa untuk belajar tentang cara berpikir kritis dan keterampilan pemecahan masalah, serta untuk memperoleh pengetahuan yang esensial dari materi pelajaran</w:t>
      </w:r>
      <w:r w:rsidRPr="007F3745">
        <w:t>.</w:t>
      </w:r>
      <w:r w:rsidRPr="008B6CB8">
        <w:t xml:space="preserve"> </w:t>
      </w:r>
      <w:r w:rsidRPr="008B6CB8">
        <w:rPr>
          <w:i/>
        </w:rPr>
        <w:t>Problem Based Learning</w:t>
      </w:r>
      <w:r w:rsidRPr="008B6CB8">
        <w:t xml:space="preserve"> membantu siswa untuk menerapkan pemahaman suatu konsep, dengan terlebih dahulu diberikan masalah di awal pembelajaran untuk didiskusikan dan diselesaikan secara bersama-sama. Adapun masalah yang diberikan disesuaikan dengan jangkauan pemikiran dan kebutuhan siswa.</w:t>
      </w:r>
    </w:p>
    <w:p w:rsidR="002D13BA" w:rsidRPr="00F7464D" w:rsidRDefault="002D13BA" w:rsidP="007B69FD">
      <w:pPr>
        <w:autoSpaceDE w:val="0"/>
        <w:autoSpaceDN w:val="0"/>
        <w:adjustRightInd w:val="0"/>
        <w:ind w:firstLine="426"/>
        <w:jc w:val="both"/>
        <w:rPr>
          <w:lang w:val="en-US"/>
        </w:rPr>
      </w:pPr>
    </w:p>
    <w:p w:rsidR="002D13BA" w:rsidRPr="0042798F" w:rsidRDefault="002D13BA" w:rsidP="007B69FD">
      <w:pPr>
        <w:contextualSpacing/>
        <w:jc w:val="center"/>
        <w:rPr>
          <w:b/>
        </w:rPr>
      </w:pPr>
      <w:r w:rsidRPr="0042798F">
        <w:rPr>
          <w:b/>
        </w:rPr>
        <w:t>METODE</w:t>
      </w:r>
    </w:p>
    <w:p w:rsidR="00C96E24" w:rsidRDefault="00C96E24" w:rsidP="007B69FD">
      <w:pPr>
        <w:tabs>
          <w:tab w:val="left" w:pos="426"/>
        </w:tabs>
        <w:ind w:firstLine="426"/>
        <w:jc w:val="both"/>
      </w:pPr>
    </w:p>
    <w:p w:rsidR="002D13BA" w:rsidRPr="008B6CB8" w:rsidRDefault="002D13BA" w:rsidP="007B69FD">
      <w:pPr>
        <w:tabs>
          <w:tab w:val="left" w:pos="426"/>
        </w:tabs>
        <w:ind w:firstLine="426"/>
        <w:jc w:val="both"/>
      </w:pPr>
      <w:r w:rsidRPr="008B6CB8">
        <w:t>Penelitian ini merupakan penelitian eksperimen semu (</w:t>
      </w:r>
      <w:r w:rsidRPr="008B6CB8">
        <w:rPr>
          <w:i/>
        </w:rPr>
        <w:t>Quasi-Experment</w:t>
      </w:r>
      <w:r w:rsidRPr="008B6CB8">
        <w:t xml:space="preserve">) yang bersifat validation atau menguji </w:t>
      </w:r>
      <w:r w:rsidR="00E93E1B" w:rsidRPr="008B6CB8">
        <w:t xml:space="preserve">Krathwohl </w:t>
      </w:r>
      <w:r w:rsidRPr="008B6CB8">
        <w:t xml:space="preserve">(Kurnadi dan Tirta, PS., </w:t>
      </w:r>
      <w:proofErr w:type="gramStart"/>
      <w:r w:rsidRPr="008B6CB8">
        <w:t>2017 :</w:t>
      </w:r>
      <w:proofErr w:type="gramEnd"/>
      <w:r w:rsidRPr="008B6CB8">
        <w:t xml:space="preserve"> 4), yaitu menguji pengaruh satu atau lebih variabel terhadap variabel lain. Variabel yang memberi pengaruh dikelompokkan sebagai variabel bebas dan variabel yang dipengaruhi dikelompokkan sebagai variabel terikat. Adapun desain eksperimen yang digunakan dalam penelitian ini adalah desain kelompok yang terdiri dari kelas eksperimen dan kelas kelas kontrol, yang diberikan </w:t>
      </w:r>
      <w:r w:rsidRPr="008B6CB8">
        <w:rPr>
          <w:i/>
        </w:rPr>
        <w:t>pretest</w:t>
      </w:r>
      <w:r w:rsidRPr="008B6CB8">
        <w:t xml:space="preserve"> (tes awal) dan </w:t>
      </w:r>
      <w:r w:rsidRPr="008B6CB8">
        <w:rPr>
          <w:i/>
        </w:rPr>
        <w:t>posttest</w:t>
      </w:r>
      <w:r w:rsidRPr="008B6CB8">
        <w:t xml:space="preserve"> (test akhir)</w:t>
      </w:r>
      <w:r>
        <w:rPr>
          <w:lang w:val="en-US"/>
        </w:rPr>
        <w:t xml:space="preserve"> seperti pada Tabel 1 berikut</w:t>
      </w:r>
      <w:r w:rsidRPr="008B6CB8">
        <w:t>.</w:t>
      </w:r>
    </w:p>
    <w:p w:rsidR="0078234D" w:rsidRDefault="0078234D" w:rsidP="007B69FD">
      <w:pPr>
        <w:tabs>
          <w:tab w:val="left" w:pos="426"/>
        </w:tabs>
        <w:jc w:val="both"/>
      </w:pPr>
    </w:p>
    <w:p w:rsidR="002D13BA" w:rsidRPr="0078234D" w:rsidRDefault="002D13BA" w:rsidP="007B69FD">
      <w:pPr>
        <w:tabs>
          <w:tab w:val="left" w:pos="426"/>
        </w:tabs>
        <w:jc w:val="both"/>
      </w:pPr>
      <w:r w:rsidRPr="00AD4C6E">
        <w:t>Tabel 1</w:t>
      </w:r>
      <w:r w:rsidR="0078234D">
        <w:t xml:space="preserve">. </w:t>
      </w:r>
      <w:r w:rsidRPr="00AD4C6E">
        <w:t>Rancangan Desain Eksperimen Semu (</w:t>
      </w:r>
      <w:r w:rsidRPr="00AD4C6E">
        <w:rPr>
          <w:i/>
        </w:rPr>
        <w:t>Quasy-Eksperiment Design</w:t>
      </w:r>
      <w:r w:rsidRPr="00AD4C6E">
        <w:t>)</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55"/>
        <w:gridCol w:w="3102"/>
        <w:gridCol w:w="1304"/>
      </w:tblGrid>
      <w:tr w:rsidR="002D13BA" w:rsidRPr="00AD4C6E" w:rsidTr="00A866F2">
        <w:tc>
          <w:tcPr>
            <w:tcW w:w="2127" w:type="dxa"/>
            <w:tcBorders>
              <w:top w:val="single" w:sz="4" w:space="0" w:color="auto"/>
              <w:bottom w:val="single" w:sz="4" w:space="0" w:color="auto"/>
            </w:tcBorders>
            <w:shd w:val="clear" w:color="auto" w:fill="auto"/>
            <w:vAlign w:val="center"/>
          </w:tcPr>
          <w:p w:rsidR="002D13BA" w:rsidRPr="00AD4C6E" w:rsidRDefault="002D13BA" w:rsidP="007B69FD">
            <w:pPr>
              <w:tabs>
                <w:tab w:val="left" w:pos="426"/>
              </w:tabs>
              <w:jc w:val="center"/>
            </w:pPr>
            <w:r w:rsidRPr="00AD4C6E">
              <w:t>Kelompok</w:t>
            </w:r>
          </w:p>
        </w:tc>
        <w:tc>
          <w:tcPr>
            <w:tcW w:w="1155" w:type="dxa"/>
            <w:tcBorders>
              <w:top w:val="single" w:sz="4" w:space="0" w:color="auto"/>
              <w:bottom w:val="single" w:sz="4" w:space="0" w:color="auto"/>
            </w:tcBorders>
            <w:shd w:val="clear" w:color="auto" w:fill="auto"/>
            <w:vAlign w:val="center"/>
          </w:tcPr>
          <w:p w:rsidR="002D13BA" w:rsidRPr="00AD4C6E" w:rsidRDefault="002D13BA" w:rsidP="007B69FD">
            <w:pPr>
              <w:tabs>
                <w:tab w:val="left" w:pos="426"/>
              </w:tabs>
              <w:jc w:val="center"/>
            </w:pPr>
            <w:r w:rsidRPr="00AD4C6E">
              <w:t>Tes Awal</w:t>
            </w:r>
          </w:p>
        </w:tc>
        <w:tc>
          <w:tcPr>
            <w:tcW w:w="3102" w:type="dxa"/>
            <w:tcBorders>
              <w:top w:val="single" w:sz="4" w:space="0" w:color="auto"/>
              <w:bottom w:val="single" w:sz="4" w:space="0" w:color="auto"/>
            </w:tcBorders>
            <w:shd w:val="clear" w:color="auto" w:fill="auto"/>
            <w:vAlign w:val="center"/>
          </w:tcPr>
          <w:p w:rsidR="002D13BA" w:rsidRPr="00AD4C6E" w:rsidRDefault="002D13BA" w:rsidP="007B69FD">
            <w:pPr>
              <w:tabs>
                <w:tab w:val="left" w:pos="426"/>
              </w:tabs>
              <w:jc w:val="center"/>
            </w:pPr>
            <w:r w:rsidRPr="00AD4C6E">
              <w:t>Perlakuan (variabel bebas)</w:t>
            </w:r>
          </w:p>
        </w:tc>
        <w:tc>
          <w:tcPr>
            <w:tcW w:w="1304" w:type="dxa"/>
            <w:tcBorders>
              <w:top w:val="single" w:sz="4" w:space="0" w:color="auto"/>
              <w:bottom w:val="single" w:sz="4" w:space="0" w:color="auto"/>
            </w:tcBorders>
            <w:shd w:val="clear" w:color="auto" w:fill="auto"/>
            <w:vAlign w:val="center"/>
          </w:tcPr>
          <w:p w:rsidR="002D13BA" w:rsidRPr="00AD4C6E" w:rsidRDefault="002D13BA" w:rsidP="007B69FD">
            <w:pPr>
              <w:tabs>
                <w:tab w:val="left" w:pos="426"/>
              </w:tabs>
              <w:jc w:val="center"/>
            </w:pPr>
            <w:r w:rsidRPr="00AD4C6E">
              <w:t>Tes Akhir</w:t>
            </w:r>
          </w:p>
        </w:tc>
      </w:tr>
      <w:tr w:rsidR="002D13BA" w:rsidRPr="00AD4C6E" w:rsidTr="00A866F2">
        <w:tc>
          <w:tcPr>
            <w:tcW w:w="2127" w:type="dxa"/>
            <w:tcBorders>
              <w:top w:val="single" w:sz="4" w:space="0" w:color="auto"/>
            </w:tcBorders>
            <w:shd w:val="clear" w:color="auto" w:fill="auto"/>
            <w:vAlign w:val="center"/>
          </w:tcPr>
          <w:p w:rsidR="002D13BA" w:rsidRPr="00AD4C6E" w:rsidRDefault="002D13BA" w:rsidP="007B69FD">
            <w:pPr>
              <w:tabs>
                <w:tab w:val="left" w:pos="426"/>
              </w:tabs>
              <w:jc w:val="center"/>
            </w:pPr>
            <w:r w:rsidRPr="00AD4C6E">
              <w:t>Eksperimen Alami</w:t>
            </w:r>
          </w:p>
        </w:tc>
        <w:tc>
          <w:tcPr>
            <w:tcW w:w="1155" w:type="dxa"/>
            <w:tcBorders>
              <w:top w:val="single" w:sz="4" w:space="0" w:color="auto"/>
            </w:tcBorders>
            <w:shd w:val="clear" w:color="auto" w:fill="auto"/>
            <w:vAlign w:val="center"/>
          </w:tcPr>
          <w:p w:rsidR="002D13BA" w:rsidRPr="00AD4C6E" w:rsidRDefault="002D13BA" w:rsidP="007B69FD">
            <w:pPr>
              <w:tabs>
                <w:tab w:val="left" w:pos="426"/>
              </w:tabs>
              <w:jc w:val="center"/>
            </w:pPr>
            <w:r w:rsidRPr="00AD4C6E">
              <w:t>Y</w:t>
            </w:r>
            <w:r w:rsidRPr="00AD4C6E">
              <w:rPr>
                <w:vertAlign w:val="subscript"/>
              </w:rPr>
              <w:t>1</w:t>
            </w:r>
          </w:p>
        </w:tc>
        <w:tc>
          <w:tcPr>
            <w:tcW w:w="3102" w:type="dxa"/>
            <w:tcBorders>
              <w:top w:val="single" w:sz="4" w:space="0" w:color="auto"/>
            </w:tcBorders>
            <w:shd w:val="clear" w:color="auto" w:fill="auto"/>
            <w:vAlign w:val="center"/>
          </w:tcPr>
          <w:p w:rsidR="002D13BA" w:rsidRPr="00AD4C6E" w:rsidRDefault="002D13BA" w:rsidP="007B69FD">
            <w:pPr>
              <w:tabs>
                <w:tab w:val="left" w:pos="426"/>
              </w:tabs>
              <w:jc w:val="center"/>
            </w:pPr>
            <w:r w:rsidRPr="00AD4C6E">
              <w:t>X</w:t>
            </w:r>
          </w:p>
        </w:tc>
        <w:tc>
          <w:tcPr>
            <w:tcW w:w="1304" w:type="dxa"/>
            <w:tcBorders>
              <w:top w:val="single" w:sz="4" w:space="0" w:color="auto"/>
            </w:tcBorders>
            <w:shd w:val="clear" w:color="auto" w:fill="auto"/>
            <w:vAlign w:val="center"/>
          </w:tcPr>
          <w:p w:rsidR="002D13BA" w:rsidRPr="00AD4C6E" w:rsidRDefault="002D13BA" w:rsidP="007B69FD">
            <w:pPr>
              <w:tabs>
                <w:tab w:val="left" w:pos="426"/>
              </w:tabs>
              <w:jc w:val="center"/>
            </w:pPr>
            <w:r w:rsidRPr="00AD4C6E">
              <w:t>Y</w:t>
            </w:r>
            <w:r w:rsidRPr="00AD4C6E">
              <w:rPr>
                <w:vertAlign w:val="subscript"/>
              </w:rPr>
              <w:t>2</w:t>
            </w:r>
          </w:p>
        </w:tc>
      </w:tr>
      <w:tr w:rsidR="002D13BA" w:rsidRPr="00AD4C6E" w:rsidTr="00A866F2">
        <w:tc>
          <w:tcPr>
            <w:tcW w:w="2127" w:type="dxa"/>
            <w:shd w:val="clear" w:color="auto" w:fill="auto"/>
            <w:vAlign w:val="center"/>
          </w:tcPr>
          <w:p w:rsidR="002D13BA" w:rsidRPr="00AD4C6E" w:rsidRDefault="002D13BA" w:rsidP="007B69FD">
            <w:pPr>
              <w:tabs>
                <w:tab w:val="left" w:pos="426"/>
              </w:tabs>
              <w:jc w:val="center"/>
            </w:pPr>
            <w:r w:rsidRPr="00AD4C6E">
              <w:t>Kontrol Alami</w:t>
            </w:r>
          </w:p>
        </w:tc>
        <w:tc>
          <w:tcPr>
            <w:tcW w:w="1155" w:type="dxa"/>
            <w:shd w:val="clear" w:color="auto" w:fill="auto"/>
            <w:vAlign w:val="center"/>
          </w:tcPr>
          <w:p w:rsidR="002D13BA" w:rsidRPr="00AD4C6E" w:rsidRDefault="002D13BA" w:rsidP="007B69FD">
            <w:pPr>
              <w:tabs>
                <w:tab w:val="left" w:pos="426"/>
              </w:tabs>
              <w:jc w:val="center"/>
            </w:pPr>
            <w:r w:rsidRPr="00AD4C6E">
              <w:t>Y</w:t>
            </w:r>
            <w:r w:rsidRPr="00AD4C6E">
              <w:rPr>
                <w:vertAlign w:val="subscript"/>
              </w:rPr>
              <w:t>1</w:t>
            </w:r>
          </w:p>
        </w:tc>
        <w:tc>
          <w:tcPr>
            <w:tcW w:w="3102" w:type="dxa"/>
            <w:shd w:val="clear" w:color="auto" w:fill="auto"/>
            <w:vAlign w:val="center"/>
          </w:tcPr>
          <w:p w:rsidR="002D13BA" w:rsidRPr="00AD4C6E" w:rsidRDefault="002D13BA" w:rsidP="007B69FD">
            <w:pPr>
              <w:tabs>
                <w:tab w:val="left" w:pos="426"/>
              </w:tabs>
              <w:jc w:val="center"/>
            </w:pPr>
            <w:r w:rsidRPr="00AD4C6E">
              <w:t>-</w:t>
            </w:r>
          </w:p>
        </w:tc>
        <w:tc>
          <w:tcPr>
            <w:tcW w:w="1304" w:type="dxa"/>
            <w:shd w:val="clear" w:color="auto" w:fill="auto"/>
            <w:vAlign w:val="center"/>
          </w:tcPr>
          <w:p w:rsidR="002D13BA" w:rsidRPr="00AD4C6E" w:rsidRDefault="002D13BA" w:rsidP="007B69FD">
            <w:pPr>
              <w:tabs>
                <w:tab w:val="left" w:pos="426"/>
              </w:tabs>
              <w:jc w:val="center"/>
            </w:pPr>
            <w:r w:rsidRPr="00AD4C6E">
              <w:t>Y</w:t>
            </w:r>
            <w:r w:rsidRPr="00AD4C6E">
              <w:rPr>
                <w:vertAlign w:val="subscript"/>
              </w:rPr>
              <w:t>2</w:t>
            </w:r>
          </w:p>
        </w:tc>
      </w:tr>
    </w:tbl>
    <w:p w:rsidR="0078234D" w:rsidRDefault="0078234D" w:rsidP="007B69FD">
      <w:pPr>
        <w:tabs>
          <w:tab w:val="left" w:pos="426"/>
        </w:tabs>
        <w:jc w:val="both"/>
      </w:pPr>
    </w:p>
    <w:p w:rsidR="002D13BA" w:rsidRPr="008B6CB8" w:rsidRDefault="00E93E1B" w:rsidP="007B69FD">
      <w:pPr>
        <w:tabs>
          <w:tab w:val="left" w:pos="426"/>
        </w:tabs>
        <w:jc w:val="both"/>
      </w:pPr>
      <w:r>
        <w:t>(Indrawan &amp;</w:t>
      </w:r>
      <w:r w:rsidR="002D13BA" w:rsidRPr="008B6CB8">
        <w:t xml:space="preserve"> Yaniawati, 2016: 58)</w:t>
      </w:r>
    </w:p>
    <w:p w:rsidR="002D13BA" w:rsidRDefault="002D13BA" w:rsidP="007B69FD">
      <w:pPr>
        <w:ind w:firstLine="426"/>
        <w:jc w:val="both"/>
        <w:rPr>
          <w:lang w:val="en-US"/>
        </w:rPr>
      </w:pPr>
      <w:r w:rsidRPr="008B6CB8">
        <w:t xml:space="preserve">Populasi dalam penelitian ini adalah seluruh peserta didik kelas X MA Annizhomiyyah. Teknik pengambilan sampel menggunakan teknik </w:t>
      </w:r>
      <w:r w:rsidRPr="008B6CB8">
        <w:rPr>
          <w:i/>
        </w:rPr>
        <w:t>Simple Random Sampling</w:t>
      </w:r>
      <w:r w:rsidRPr="008B6CB8">
        <w:t xml:space="preserve">. </w:t>
      </w:r>
      <w:r w:rsidRPr="008B6CB8">
        <w:rPr>
          <w:i/>
        </w:rPr>
        <w:t>Simple Random Sampling</w:t>
      </w:r>
      <w:r w:rsidRPr="008B6CB8">
        <w:t xml:space="preserve"> merupakan teknik yang paling sederhana (</w:t>
      </w:r>
      <w:r w:rsidRPr="008B6CB8">
        <w:rPr>
          <w:i/>
        </w:rPr>
        <w:t>simple</w:t>
      </w:r>
      <w:r w:rsidRPr="008B6CB8">
        <w:t xml:space="preserve">). Sampel diambil secara acak, tanpa memperhatikan tingkatan yang ada dalam populasi. Pengambilan sampel dilakukan dengan cara undian terhadap kelas yang akan dipilih untuk menjadi kelas eksperimen dan kelas kontrol. </w:t>
      </w:r>
      <w:r w:rsidRPr="008B6CB8">
        <w:lastRenderedPageBreak/>
        <w:t>Kemudian diperoleh dua kelas yang akan dijadikan sebagai sampel penelitian yaitu kelas X</w:t>
      </w:r>
      <w:r w:rsidR="001469E1">
        <w:t xml:space="preserve"> </w:t>
      </w:r>
      <w:r w:rsidRPr="008B6CB8">
        <w:t>A sebagai kelas eksperimen dan kelas X</w:t>
      </w:r>
      <w:r w:rsidR="001469E1">
        <w:t xml:space="preserve"> </w:t>
      </w:r>
      <w:r w:rsidRPr="008B6CB8">
        <w:t>B sebagai kelas kontrol.</w:t>
      </w:r>
    </w:p>
    <w:p w:rsidR="00B504E5" w:rsidRPr="008B6CB8" w:rsidRDefault="002D13BA" w:rsidP="007B69FD">
      <w:pPr>
        <w:ind w:firstLine="426"/>
        <w:jc w:val="both"/>
      </w:pPr>
      <w:r w:rsidRPr="008B6CB8">
        <w:t>Variabel penelitian yang digunakan ada dua, yaitu variabel bebas dan variabel terikat. Variabel bebas dalam penelitian ini adalah</w:t>
      </w:r>
      <w:r w:rsidR="00B504E5">
        <w:t xml:space="preserve"> </w:t>
      </w:r>
      <w:r w:rsidR="00B504E5" w:rsidRPr="008B6CB8">
        <w:t xml:space="preserve">model pembelajaran </w:t>
      </w:r>
      <w:r w:rsidR="00B504E5" w:rsidRPr="008B6CB8">
        <w:rPr>
          <w:i/>
        </w:rPr>
        <w:t>Problem Based Learning</w:t>
      </w:r>
      <w:r w:rsidR="00B504E5" w:rsidRPr="008B6CB8">
        <w:t xml:space="preserve"> yang diberikan pada kelas eksperimen dan pembelajaran konvensional yang diberikan pada kelas kontrol. Variabel terikat dalam penelitian ini adalah kemampuan pemecahan masalah matematis siswa.</w:t>
      </w:r>
    </w:p>
    <w:p w:rsidR="00B504E5" w:rsidRPr="008B6CB8" w:rsidRDefault="00B504E5" w:rsidP="007B69FD">
      <w:pPr>
        <w:ind w:firstLine="426"/>
        <w:jc w:val="both"/>
      </w:pPr>
      <w:r w:rsidRPr="008B6CB8">
        <w:t>Teknik pengumpulan data yang dilakukan dalam penelitian ini yaitu:</w:t>
      </w:r>
    </w:p>
    <w:p w:rsidR="00B504E5" w:rsidRPr="008B6CB8" w:rsidRDefault="00B504E5" w:rsidP="007B69FD">
      <w:pPr>
        <w:pStyle w:val="ListParagraph"/>
        <w:numPr>
          <w:ilvl w:val="0"/>
          <w:numId w:val="27"/>
        </w:numPr>
        <w:ind w:left="426" w:hanging="426"/>
        <w:contextualSpacing/>
        <w:jc w:val="both"/>
      </w:pPr>
      <w:r w:rsidRPr="008B6CB8">
        <w:t>Wawancara</w:t>
      </w:r>
    </w:p>
    <w:p w:rsidR="00CD41C1" w:rsidRDefault="00B504E5" w:rsidP="00ED4D79">
      <w:pPr>
        <w:ind w:firstLine="426"/>
        <w:jc w:val="both"/>
        <w:rPr>
          <w:lang w:val="id-ID"/>
        </w:rPr>
      </w:pPr>
      <w:r w:rsidRPr="008B6CB8">
        <w:t>Teknik ini digunakan oleh peneliti untuk mewawancarai guru bidang studi matematika kelas X MA Annizhomiyyah. Dalam hal ini pewawancara mengadakan percakapan</w:t>
      </w:r>
      <w:r w:rsidR="00CD41C1">
        <w:rPr>
          <w:lang w:val="id-ID"/>
        </w:rPr>
        <w:t xml:space="preserve"> dengan narasumber untuk melengkapi proses pengumpulan data dalam penelitian dan menggali terus jawaban yang disampaikan oleh narasumber sampai jawaban yang disampaikan narasumber dirasa cukup untuk data penelitian. </w:t>
      </w:r>
      <w:proofErr w:type="gramStart"/>
      <w:r w:rsidR="00CD41C1" w:rsidRPr="008B6CB8">
        <w:t>Wawancara dilakukan untuk memperoleh informasi yang jelas untuk kebutuhan penelitian.</w:t>
      </w:r>
      <w:proofErr w:type="gramEnd"/>
    </w:p>
    <w:p w:rsidR="00B504E5" w:rsidRPr="008B6CB8" w:rsidRDefault="00B504E5" w:rsidP="007B69FD">
      <w:pPr>
        <w:pStyle w:val="ListParagraph"/>
        <w:numPr>
          <w:ilvl w:val="0"/>
          <w:numId w:val="27"/>
        </w:numPr>
        <w:ind w:left="426" w:hanging="426"/>
        <w:contextualSpacing/>
        <w:jc w:val="both"/>
      </w:pPr>
      <w:r w:rsidRPr="008B6CB8">
        <w:t>Observasi</w:t>
      </w:r>
    </w:p>
    <w:p w:rsidR="0089028D" w:rsidRDefault="00B504E5" w:rsidP="007B69FD">
      <w:pPr>
        <w:autoSpaceDE w:val="0"/>
        <w:autoSpaceDN w:val="0"/>
        <w:adjustRightInd w:val="0"/>
        <w:ind w:firstLine="426"/>
        <w:jc w:val="both"/>
      </w:pPr>
      <w:r w:rsidRPr="008B6CB8">
        <w:t xml:space="preserve">Dalam observasi ini, penulis melakukan kegiatan </w:t>
      </w:r>
      <w:proofErr w:type="gramStart"/>
      <w:r w:rsidRPr="008B6CB8">
        <w:t>pembelajaran  baik</w:t>
      </w:r>
      <w:proofErr w:type="gramEnd"/>
      <w:r w:rsidRPr="008B6CB8">
        <w:t xml:space="preserve"> </w:t>
      </w:r>
      <w:r w:rsidRPr="00BF4723">
        <w:t>di</w:t>
      </w:r>
      <w:r w:rsidR="00BF4723">
        <w:rPr>
          <w:lang w:val="id-ID"/>
        </w:rPr>
        <w:t xml:space="preserve"> </w:t>
      </w:r>
      <w:r w:rsidRPr="00BF4723">
        <w:t>kelas</w:t>
      </w:r>
      <w:r w:rsidR="00BF4723">
        <w:t xml:space="preserve"> eksperimen yai</w:t>
      </w:r>
      <w:r w:rsidRPr="008B6CB8">
        <w:t>tu dengan model pembelajaran</w:t>
      </w:r>
      <w:r w:rsidRPr="008B6CB8">
        <w:rPr>
          <w:i/>
        </w:rPr>
        <w:t xml:space="preserve"> Problem Based Learning,</w:t>
      </w:r>
      <w:r w:rsidRPr="008B6CB8">
        <w:t xml:space="preserve"> </w:t>
      </w:r>
      <w:r w:rsidR="001502B5" w:rsidRPr="008B6CB8">
        <w:t xml:space="preserve">sedangkan </w:t>
      </w:r>
      <w:r w:rsidRPr="008B6CB8">
        <w:t>kegiata</w:t>
      </w:r>
      <w:r w:rsidR="001502B5">
        <w:t>n pembelajaran di kelas kontrol</w:t>
      </w:r>
      <w:r w:rsidRPr="008B6CB8">
        <w:t xml:space="preserve"> yaitu dengan menggunakan model pembelajaran konvensional.</w:t>
      </w:r>
    </w:p>
    <w:p w:rsidR="00B504E5" w:rsidRPr="008B6CB8" w:rsidRDefault="00B504E5" w:rsidP="008D51C6">
      <w:pPr>
        <w:pStyle w:val="ListParagraph"/>
        <w:numPr>
          <w:ilvl w:val="0"/>
          <w:numId w:val="27"/>
        </w:numPr>
        <w:ind w:left="426" w:hanging="426"/>
        <w:contextualSpacing/>
        <w:jc w:val="both"/>
      </w:pPr>
      <w:r w:rsidRPr="008B6CB8">
        <w:t>Tes</w:t>
      </w:r>
    </w:p>
    <w:p w:rsidR="00BF4723" w:rsidRPr="00211B27" w:rsidRDefault="00B504E5" w:rsidP="00414E40">
      <w:pPr>
        <w:tabs>
          <w:tab w:val="left" w:pos="284"/>
        </w:tabs>
        <w:autoSpaceDE w:val="0"/>
        <w:autoSpaceDN w:val="0"/>
        <w:adjustRightInd w:val="0"/>
        <w:ind w:firstLine="426"/>
        <w:jc w:val="both"/>
      </w:pPr>
      <w:proofErr w:type="gramStart"/>
      <w:r w:rsidRPr="008B6CB8">
        <w:t>Tes yang digunakan berupa tes uraian (</w:t>
      </w:r>
      <w:r w:rsidRPr="008B6CB8">
        <w:rPr>
          <w:i/>
        </w:rPr>
        <w:t>essay</w:t>
      </w:r>
      <w:r w:rsidRPr="008B6CB8">
        <w:t>) yang terdiri dari 5 soal.</w:t>
      </w:r>
      <w:proofErr w:type="gramEnd"/>
      <w:r w:rsidRPr="008B6CB8">
        <w:t xml:space="preserve"> Tes uraian berupa soal-soal yang sesuai dengan indikator dari kemampuan pemecahan masalah matematis siswa. Data yang diperoleh dari penelitian ini adalah data kuantitatif yaitu analisis terhadap jawaban siswa pada soal tes kemampuan pemecahan masalah matematis siswa dan diolah dengan bantuan program </w:t>
      </w:r>
      <w:r w:rsidRPr="008B6CB8">
        <w:rPr>
          <w:i/>
        </w:rPr>
        <w:t>Microsoft Excel</w:t>
      </w:r>
      <w:r w:rsidRPr="008B6CB8">
        <w:t>.</w:t>
      </w:r>
      <w:r w:rsidR="002567C5">
        <w:t xml:space="preserve"> </w:t>
      </w:r>
      <w:r w:rsidR="00BF4723" w:rsidRPr="00211B27">
        <w:t>Sementara itu, indikator dari tahap pemecahan masalah</w:t>
      </w:r>
      <w:r w:rsidR="006647FD">
        <w:t xml:space="preserve"> </w:t>
      </w:r>
      <w:r w:rsidR="00BF4723" w:rsidRPr="00211B27">
        <w:t xml:space="preserve">yang </w:t>
      </w:r>
      <w:proofErr w:type="gramStart"/>
      <w:r w:rsidR="00BF4723" w:rsidRPr="00211B27">
        <w:t>akan</w:t>
      </w:r>
      <w:proofErr w:type="gramEnd"/>
      <w:r w:rsidR="00BF4723" w:rsidRPr="00211B27">
        <w:t xml:space="preserve"> diteliti pada penelitian ini adalah sebagai ber</w:t>
      </w:r>
      <w:r w:rsidR="001A2830">
        <w:t>ikut.</w:t>
      </w:r>
      <w:bookmarkStart w:id="0" w:name="_GoBack"/>
      <w:bookmarkEnd w:id="0"/>
    </w:p>
    <w:p w:rsidR="00BF4723" w:rsidRPr="00A33675" w:rsidRDefault="008E12C7" w:rsidP="008D51C6">
      <w:pPr>
        <w:autoSpaceDE w:val="0"/>
        <w:autoSpaceDN w:val="0"/>
        <w:adjustRightInd w:val="0"/>
        <w:rPr>
          <w:lang w:val="id-ID"/>
        </w:rPr>
      </w:pPr>
      <w:proofErr w:type="gramStart"/>
      <w:r w:rsidRPr="00A33675">
        <w:t>Tabel 2</w:t>
      </w:r>
      <w:r w:rsidRPr="00A33675">
        <w:rPr>
          <w:lang w:val="id-ID"/>
        </w:rPr>
        <w:t>.</w:t>
      </w:r>
      <w:proofErr w:type="gramEnd"/>
      <w:r w:rsidRPr="00A33675">
        <w:rPr>
          <w:lang w:val="id-ID"/>
        </w:rPr>
        <w:t xml:space="preserve"> </w:t>
      </w:r>
      <w:r w:rsidR="00BF4723" w:rsidRPr="00A33675">
        <w:t>Indikator Pemecahan Masalah</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127"/>
        <w:gridCol w:w="4727"/>
      </w:tblGrid>
      <w:tr w:rsidR="00BF4723" w:rsidTr="001A2830">
        <w:trPr>
          <w:jc w:val="center"/>
        </w:trPr>
        <w:tc>
          <w:tcPr>
            <w:tcW w:w="510" w:type="dxa"/>
            <w:tcBorders>
              <w:top w:val="single" w:sz="4" w:space="0" w:color="auto"/>
              <w:bottom w:val="single" w:sz="4" w:space="0" w:color="auto"/>
            </w:tcBorders>
            <w:vAlign w:val="center"/>
          </w:tcPr>
          <w:p w:rsidR="00BF4723" w:rsidRPr="0077327A" w:rsidRDefault="00BF4723" w:rsidP="001A2830">
            <w:pPr>
              <w:autoSpaceDE w:val="0"/>
              <w:autoSpaceDN w:val="0"/>
              <w:adjustRightInd w:val="0"/>
              <w:jc w:val="center"/>
              <w:rPr>
                <w:b/>
              </w:rPr>
            </w:pPr>
            <w:r>
              <w:rPr>
                <w:b/>
              </w:rPr>
              <w:t>No</w:t>
            </w:r>
          </w:p>
        </w:tc>
        <w:tc>
          <w:tcPr>
            <w:tcW w:w="3127" w:type="dxa"/>
            <w:tcBorders>
              <w:top w:val="single" w:sz="4" w:space="0" w:color="auto"/>
              <w:bottom w:val="single" w:sz="4" w:space="0" w:color="auto"/>
            </w:tcBorders>
            <w:vAlign w:val="center"/>
          </w:tcPr>
          <w:p w:rsidR="00BF4723" w:rsidRPr="0077327A" w:rsidRDefault="00BF4723" w:rsidP="001A2830">
            <w:pPr>
              <w:autoSpaceDE w:val="0"/>
              <w:autoSpaceDN w:val="0"/>
              <w:adjustRightInd w:val="0"/>
              <w:jc w:val="center"/>
              <w:rPr>
                <w:b/>
              </w:rPr>
            </w:pPr>
            <w:r>
              <w:rPr>
                <w:b/>
              </w:rPr>
              <w:t>Tahap Pemecahan Masalah</w:t>
            </w:r>
          </w:p>
        </w:tc>
        <w:tc>
          <w:tcPr>
            <w:tcW w:w="4727" w:type="dxa"/>
            <w:tcBorders>
              <w:top w:val="single" w:sz="4" w:space="0" w:color="auto"/>
              <w:bottom w:val="single" w:sz="4" w:space="0" w:color="auto"/>
            </w:tcBorders>
            <w:vAlign w:val="center"/>
          </w:tcPr>
          <w:p w:rsidR="00BF4723" w:rsidRPr="0077327A" w:rsidRDefault="00BF4723" w:rsidP="001A2830">
            <w:pPr>
              <w:autoSpaceDE w:val="0"/>
              <w:autoSpaceDN w:val="0"/>
              <w:adjustRightInd w:val="0"/>
              <w:jc w:val="center"/>
              <w:rPr>
                <w:b/>
              </w:rPr>
            </w:pPr>
            <w:r>
              <w:rPr>
                <w:b/>
              </w:rPr>
              <w:t>Indikator</w:t>
            </w:r>
          </w:p>
        </w:tc>
      </w:tr>
      <w:tr w:rsidR="00BF4723" w:rsidTr="001A2830">
        <w:trPr>
          <w:jc w:val="center"/>
        </w:trPr>
        <w:tc>
          <w:tcPr>
            <w:tcW w:w="510" w:type="dxa"/>
            <w:tcBorders>
              <w:top w:val="single" w:sz="4" w:space="0" w:color="auto"/>
            </w:tcBorders>
            <w:vAlign w:val="center"/>
          </w:tcPr>
          <w:p w:rsidR="00BF4723" w:rsidRDefault="00BF4723" w:rsidP="001A2830">
            <w:pPr>
              <w:autoSpaceDE w:val="0"/>
              <w:autoSpaceDN w:val="0"/>
              <w:adjustRightInd w:val="0"/>
              <w:jc w:val="center"/>
            </w:pPr>
            <w:r>
              <w:t>1</w:t>
            </w:r>
          </w:p>
        </w:tc>
        <w:tc>
          <w:tcPr>
            <w:tcW w:w="3127" w:type="dxa"/>
            <w:tcBorders>
              <w:top w:val="single" w:sz="4" w:space="0" w:color="auto"/>
            </w:tcBorders>
            <w:vAlign w:val="center"/>
          </w:tcPr>
          <w:p w:rsidR="00BF4723" w:rsidRDefault="00BF4723" w:rsidP="001A2830">
            <w:pPr>
              <w:autoSpaceDE w:val="0"/>
              <w:autoSpaceDN w:val="0"/>
              <w:adjustRightInd w:val="0"/>
              <w:jc w:val="both"/>
            </w:pPr>
            <w:r>
              <w:t>Memahami masalah</w:t>
            </w:r>
          </w:p>
        </w:tc>
        <w:tc>
          <w:tcPr>
            <w:tcW w:w="4727" w:type="dxa"/>
            <w:tcBorders>
              <w:top w:val="single" w:sz="4" w:space="0" w:color="auto"/>
            </w:tcBorders>
            <w:vAlign w:val="center"/>
          </w:tcPr>
          <w:p w:rsidR="00BF4723" w:rsidRPr="00B40414" w:rsidRDefault="00BF4723" w:rsidP="001A2830">
            <w:pPr>
              <w:pStyle w:val="ListParagraph"/>
              <w:numPr>
                <w:ilvl w:val="0"/>
                <w:numId w:val="31"/>
              </w:numPr>
              <w:autoSpaceDE w:val="0"/>
              <w:autoSpaceDN w:val="0"/>
              <w:adjustRightInd w:val="0"/>
              <w:ind w:left="34" w:firstLine="0"/>
              <w:contextualSpacing/>
              <w:jc w:val="both"/>
            </w:pPr>
            <w:r>
              <w:t xml:space="preserve">Mengetahui </w:t>
            </w:r>
            <w:proofErr w:type="gramStart"/>
            <w:r>
              <w:t>apa</w:t>
            </w:r>
            <w:proofErr w:type="gramEnd"/>
            <w:r>
              <w:t xml:space="preserve"> saja yang diketahui dan ditanyakan pada masalah; dan b) menjelaskan masalah sesuai dengan kalimat sendiri.</w:t>
            </w:r>
          </w:p>
        </w:tc>
      </w:tr>
      <w:tr w:rsidR="00BF4723" w:rsidTr="001A2830">
        <w:trPr>
          <w:jc w:val="center"/>
        </w:trPr>
        <w:tc>
          <w:tcPr>
            <w:tcW w:w="510" w:type="dxa"/>
            <w:vAlign w:val="center"/>
          </w:tcPr>
          <w:p w:rsidR="00BF4723" w:rsidRDefault="00BF4723" w:rsidP="001A2830">
            <w:pPr>
              <w:autoSpaceDE w:val="0"/>
              <w:autoSpaceDN w:val="0"/>
              <w:adjustRightInd w:val="0"/>
              <w:jc w:val="center"/>
            </w:pPr>
            <w:r>
              <w:t>2</w:t>
            </w:r>
          </w:p>
        </w:tc>
        <w:tc>
          <w:tcPr>
            <w:tcW w:w="3127" w:type="dxa"/>
            <w:vAlign w:val="center"/>
          </w:tcPr>
          <w:p w:rsidR="00BF4723" w:rsidRDefault="00BF4723" w:rsidP="001A2830">
            <w:pPr>
              <w:autoSpaceDE w:val="0"/>
              <w:autoSpaceDN w:val="0"/>
              <w:adjustRightInd w:val="0"/>
              <w:jc w:val="both"/>
            </w:pPr>
            <w:r>
              <w:t>Membuat rencana</w:t>
            </w:r>
          </w:p>
        </w:tc>
        <w:tc>
          <w:tcPr>
            <w:tcW w:w="4727" w:type="dxa"/>
            <w:vAlign w:val="center"/>
          </w:tcPr>
          <w:p w:rsidR="00BF4723" w:rsidRPr="00B40414" w:rsidRDefault="00BF4723" w:rsidP="001A2830">
            <w:pPr>
              <w:pStyle w:val="ListParagraph"/>
              <w:numPr>
                <w:ilvl w:val="0"/>
                <w:numId w:val="32"/>
              </w:numPr>
              <w:autoSpaceDE w:val="0"/>
              <w:autoSpaceDN w:val="0"/>
              <w:adjustRightInd w:val="0"/>
              <w:ind w:left="34" w:firstLine="0"/>
              <w:contextualSpacing/>
              <w:jc w:val="both"/>
            </w:pPr>
            <w:r>
              <w:t>Menyederhanakan masalah; b) mampu membuat eksperimen dan simulasi; c) mampu mencari sub-tujuan (hal-hal yang perlu dicari sebelum menyelesaikan masalah); d) mengurutkan informasi.</w:t>
            </w:r>
          </w:p>
        </w:tc>
      </w:tr>
      <w:tr w:rsidR="00BF4723" w:rsidTr="001A2830">
        <w:trPr>
          <w:jc w:val="center"/>
        </w:trPr>
        <w:tc>
          <w:tcPr>
            <w:tcW w:w="510" w:type="dxa"/>
            <w:vAlign w:val="center"/>
          </w:tcPr>
          <w:p w:rsidR="00BF4723" w:rsidRDefault="00BF4723" w:rsidP="001A2830">
            <w:pPr>
              <w:autoSpaceDE w:val="0"/>
              <w:autoSpaceDN w:val="0"/>
              <w:adjustRightInd w:val="0"/>
              <w:jc w:val="center"/>
            </w:pPr>
            <w:r>
              <w:t>3</w:t>
            </w:r>
          </w:p>
        </w:tc>
        <w:tc>
          <w:tcPr>
            <w:tcW w:w="3127" w:type="dxa"/>
            <w:vAlign w:val="center"/>
          </w:tcPr>
          <w:p w:rsidR="00BF4723" w:rsidRDefault="00BF4723" w:rsidP="001A2830">
            <w:pPr>
              <w:autoSpaceDE w:val="0"/>
              <w:autoSpaceDN w:val="0"/>
              <w:adjustRightInd w:val="0"/>
              <w:jc w:val="both"/>
            </w:pPr>
            <w:r>
              <w:t>Melaksanakan Rencana Penyelesaian</w:t>
            </w:r>
          </w:p>
        </w:tc>
        <w:tc>
          <w:tcPr>
            <w:tcW w:w="4727" w:type="dxa"/>
            <w:vAlign w:val="center"/>
          </w:tcPr>
          <w:p w:rsidR="00BF4723" w:rsidRPr="00EB1E3D" w:rsidRDefault="00BF4723" w:rsidP="001A2830">
            <w:pPr>
              <w:pStyle w:val="ListParagraph"/>
              <w:numPr>
                <w:ilvl w:val="0"/>
                <w:numId w:val="33"/>
              </w:numPr>
              <w:autoSpaceDE w:val="0"/>
              <w:autoSpaceDN w:val="0"/>
              <w:adjustRightInd w:val="0"/>
              <w:ind w:left="34" w:firstLine="0"/>
              <w:contextualSpacing/>
              <w:jc w:val="both"/>
            </w:pPr>
            <w:r>
              <w:t>Mengartikan masalah yang diberikan dalam bentuk kalimat matematika, dan b) melaksanakan strategi selama proses dan penghitungan berlangsung.</w:t>
            </w:r>
          </w:p>
        </w:tc>
      </w:tr>
      <w:tr w:rsidR="00BF4723" w:rsidTr="001A2830">
        <w:trPr>
          <w:jc w:val="center"/>
        </w:trPr>
        <w:tc>
          <w:tcPr>
            <w:tcW w:w="510" w:type="dxa"/>
            <w:vAlign w:val="center"/>
          </w:tcPr>
          <w:p w:rsidR="00BF4723" w:rsidRDefault="00BF4723" w:rsidP="001A2830">
            <w:pPr>
              <w:autoSpaceDE w:val="0"/>
              <w:autoSpaceDN w:val="0"/>
              <w:adjustRightInd w:val="0"/>
              <w:jc w:val="center"/>
            </w:pPr>
            <w:r>
              <w:t>4</w:t>
            </w:r>
          </w:p>
        </w:tc>
        <w:tc>
          <w:tcPr>
            <w:tcW w:w="3127" w:type="dxa"/>
            <w:vAlign w:val="center"/>
          </w:tcPr>
          <w:p w:rsidR="00BF4723" w:rsidRDefault="00BF4723" w:rsidP="001A2830">
            <w:pPr>
              <w:autoSpaceDE w:val="0"/>
              <w:autoSpaceDN w:val="0"/>
              <w:adjustRightInd w:val="0"/>
              <w:jc w:val="both"/>
            </w:pPr>
            <w:r>
              <w:t>Melihat Kembali</w:t>
            </w:r>
          </w:p>
        </w:tc>
        <w:tc>
          <w:tcPr>
            <w:tcW w:w="4727" w:type="dxa"/>
            <w:vAlign w:val="center"/>
          </w:tcPr>
          <w:p w:rsidR="00BF4723" w:rsidRPr="00EB1E3D" w:rsidRDefault="00BF4723" w:rsidP="001A2830">
            <w:pPr>
              <w:pStyle w:val="ListParagraph"/>
              <w:numPr>
                <w:ilvl w:val="0"/>
                <w:numId w:val="34"/>
              </w:numPr>
              <w:autoSpaceDE w:val="0"/>
              <w:autoSpaceDN w:val="0"/>
              <w:adjustRightInd w:val="0"/>
              <w:ind w:left="34" w:firstLine="0"/>
              <w:contextualSpacing/>
              <w:jc w:val="both"/>
            </w:pPr>
            <w:r>
              <w:t xml:space="preserve">Mengecek semua informasi dan penghitungan yang terlibat; b) mempertimbangkan apakah solusinya </w:t>
            </w:r>
            <w:proofErr w:type="gramStart"/>
            <w:r>
              <w:t>logis ;</w:t>
            </w:r>
            <w:proofErr w:type="gramEnd"/>
            <w:r>
              <w:t xml:space="preserve"> c) melihat alternatif penyelesaian yang lain; d) membaca pertanyaa kembali; e) bertanya kepada diri sendiriapakah pertanyaan sudah terjawab.</w:t>
            </w:r>
          </w:p>
        </w:tc>
      </w:tr>
    </w:tbl>
    <w:p w:rsidR="00ED4D79" w:rsidRDefault="00ED4D79" w:rsidP="007B69FD">
      <w:pPr>
        <w:contextualSpacing/>
        <w:jc w:val="center"/>
        <w:rPr>
          <w:b/>
          <w:lang w:val="id-ID"/>
        </w:rPr>
      </w:pPr>
    </w:p>
    <w:p w:rsidR="00B504E5" w:rsidRPr="0042798F" w:rsidRDefault="00C96E24" w:rsidP="007B69FD">
      <w:pPr>
        <w:contextualSpacing/>
        <w:jc w:val="center"/>
        <w:rPr>
          <w:b/>
        </w:rPr>
      </w:pPr>
      <w:r>
        <w:rPr>
          <w:b/>
        </w:rPr>
        <w:t>HASIL</w:t>
      </w:r>
    </w:p>
    <w:p w:rsidR="00C96E24" w:rsidRDefault="00C96E24" w:rsidP="007B69FD">
      <w:pPr>
        <w:widowControl w:val="0"/>
        <w:autoSpaceDE w:val="0"/>
        <w:autoSpaceDN w:val="0"/>
        <w:ind w:firstLine="426"/>
        <w:jc w:val="both"/>
      </w:pPr>
    </w:p>
    <w:p w:rsidR="002F3DA9" w:rsidRPr="008B6CB8" w:rsidRDefault="00B504E5" w:rsidP="007B69FD">
      <w:pPr>
        <w:widowControl w:val="0"/>
        <w:autoSpaceDE w:val="0"/>
        <w:autoSpaceDN w:val="0"/>
        <w:ind w:firstLine="426"/>
        <w:jc w:val="both"/>
      </w:pPr>
      <w:r w:rsidRPr="008B6CB8">
        <w:t>Berdasarkan penelitian yang telah dilakukan, maka diperoleh data hasil penelitian yang selanjutnya akan dianalisis untuk mendapatkan kesimpulan dari hasil</w:t>
      </w:r>
      <w:r w:rsidR="002F3DA9">
        <w:t xml:space="preserve"> </w:t>
      </w:r>
      <w:r w:rsidR="002F3DA9" w:rsidRPr="008B6CB8">
        <w:t>penelitian.</w:t>
      </w:r>
    </w:p>
    <w:p w:rsidR="00B504E5" w:rsidRDefault="002F3DA9" w:rsidP="007B69FD">
      <w:pPr>
        <w:autoSpaceDE w:val="0"/>
        <w:autoSpaceDN w:val="0"/>
        <w:adjustRightInd w:val="0"/>
        <w:jc w:val="both"/>
      </w:pPr>
      <w:r w:rsidRPr="008B6CB8">
        <w:t xml:space="preserve">Setelah diberikan pengajaran dengan menggunakan model pembelajaran </w:t>
      </w:r>
      <w:r w:rsidRPr="008B6CB8">
        <w:rPr>
          <w:i/>
        </w:rPr>
        <w:t>Problem Based Learning</w:t>
      </w:r>
      <w:r w:rsidRPr="008B6CB8">
        <w:t xml:space="preserve"> untuk kelas eksperimen dan model pembelajaran konvensional untuk kelas kontrol, dapat diketahui hasil belajar yang dicapai siswa pada materi aritmatika sosial melalui </w:t>
      </w:r>
      <w:r w:rsidRPr="008B6CB8">
        <w:rPr>
          <w:i/>
          <w:iCs/>
        </w:rPr>
        <w:t xml:space="preserve">post test </w:t>
      </w:r>
      <w:r w:rsidRPr="008B6CB8">
        <w:t xml:space="preserve">yang diberikan oleh peneliti. </w:t>
      </w:r>
      <w:proofErr w:type="gramStart"/>
      <w:r w:rsidRPr="008B6CB8">
        <w:t>Adapun hasil kemampuan pemecahan masalah</w:t>
      </w:r>
      <w:r>
        <w:t xml:space="preserve"> matematis siswa seperti pada</w:t>
      </w:r>
      <w:r w:rsidRPr="008B6CB8">
        <w:t xml:space="preserve"> </w:t>
      </w:r>
      <w:r w:rsidR="0078234D" w:rsidRPr="008B6CB8">
        <w:t xml:space="preserve">Tabel </w:t>
      </w:r>
      <w:r w:rsidR="008E12C7">
        <w:rPr>
          <w:lang w:val="id-ID"/>
        </w:rPr>
        <w:t>3</w:t>
      </w:r>
      <w:r>
        <w:t xml:space="preserve"> berikut.</w:t>
      </w:r>
      <w:proofErr w:type="gramEnd"/>
      <w:r>
        <w:t xml:space="preserve"> </w:t>
      </w:r>
    </w:p>
    <w:p w:rsidR="0078234D" w:rsidRDefault="0078234D" w:rsidP="007B69FD">
      <w:pPr>
        <w:autoSpaceDE w:val="0"/>
        <w:autoSpaceDN w:val="0"/>
        <w:adjustRightInd w:val="0"/>
        <w:jc w:val="center"/>
        <w:rPr>
          <w:rFonts w:eastAsia="Calibri"/>
          <w:bCs/>
          <w:color w:val="000000"/>
          <w:lang w:eastAsia="id-ID"/>
        </w:rPr>
      </w:pPr>
    </w:p>
    <w:p w:rsidR="002F3DA9" w:rsidRPr="009E0850" w:rsidRDefault="008E12C7" w:rsidP="007B69FD">
      <w:pPr>
        <w:autoSpaceDE w:val="0"/>
        <w:autoSpaceDN w:val="0"/>
        <w:adjustRightInd w:val="0"/>
        <w:jc w:val="both"/>
        <w:rPr>
          <w:rFonts w:eastAsia="Calibri"/>
          <w:bCs/>
          <w:color w:val="000000"/>
          <w:lang w:eastAsia="id-ID"/>
        </w:rPr>
      </w:pPr>
      <w:proofErr w:type="gramStart"/>
      <w:r>
        <w:rPr>
          <w:rFonts w:eastAsia="Calibri"/>
          <w:bCs/>
          <w:color w:val="000000"/>
          <w:lang w:eastAsia="id-ID"/>
        </w:rPr>
        <w:t xml:space="preserve">Tabel </w:t>
      </w:r>
      <w:r>
        <w:rPr>
          <w:rFonts w:eastAsia="Calibri"/>
          <w:bCs/>
          <w:color w:val="000000"/>
          <w:lang w:val="id-ID" w:eastAsia="id-ID"/>
        </w:rPr>
        <w:t>3</w:t>
      </w:r>
      <w:r w:rsidR="009E0850">
        <w:rPr>
          <w:rFonts w:eastAsia="Calibri"/>
          <w:bCs/>
          <w:color w:val="000000"/>
          <w:lang w:eastAsia="id-ID"/>
        </w:rPr>
        <w:t>.</w:t>
      </w:r>
      <w:proofErr w:type="gramEnd"/>
      <w:r w:rsidR="009E0850">
        <w:rPr>
          <w:rFonts w:eastAsia="Calibri"/>
          <w:bCs/>
          <w:color w:val="000000"/>
          <w:lang w:eastAsia="id-ID"/>
        </w:rPr>
        <w:t xml:space="preserve"> </w:t>
      </w:r>
      <w:r w:rsidR="002F3DA9" w:rsidRPr="00AD4C6E">
        <w:rPr>
          <w:rFonts w:eastAsia="Calibri"/>
          <w:bCs/>
          <w:color w:val="000000"/>
          <w:lang w:eastAsia="id-ID"/>
        </w:rPr>
        <w:t xml:space="preserve">Deskripsi Data Peserta </w:t>
      </w:r>
      <w:proofErr w:type="gramStart"/>
      <w:r w:rsidR="002F3DA9" w:rsidRPr="00AD4C6E">
        <w:rPr>
          <w:rFonts w:eastAsia="Calibri"/>
          <w:bCs/>
          <w:color w:val="000000"/>
          <w:lang w:eastAsia="id-ID"/>
        </w:rPr>
        <w:t xml:space="preserve">Didik </w:t>
      </w:r>
      <w:r w:rsidR="002F3DA9" w:rsidRPr="00AD4C6E">
        <w:rPr>
          <w:rFonts w:eastAsia="Calibri"/>
          <w:color w:val="000000"/>
          <w:lang w:eastAsia="id-ID"/>
        </w:rPr>
        <w:t xml:space="preserve"> </w:t>
      </w:r>
      <w:r w:rsidR="009E0850">
        <w:rPr>
          <w:rFonts w:eastAsia="Calibri"/>
          <w:bCs/>
          <w:color w:val="000000"/>
          <w:lang w:eastAsia="id-ID"/>
        </w:rPr>
        <w:t>Kelas</w:t>
      </w:r>
      <w:proofErr w:type="gramEnd"/>
      <w:r w:rsidR="009E0850">
        <w:rPr>
          <w:rFonts w:eastAsia="Calibri"/>
          <w:bCs/>
          <w:color w:val="000000"/>
          <w:lang w:eastAsia="id-ID"/>
        </w:rPr>
        <w:t xml:space="preserve"> Eksperimen dan </w:t>
      </w:r>
      <w:r w:rsidR="002F3DA9" w:rsidRPr="00AD4C6E">
        <w:rPr>
          <w:rFonts w:eastAsia="Calibri"/>
          <w:bCs/>
          <w:color w:val="000000"/>
          <w:lang w:eastAsia="id-ID"/>
        </w:rPr>
        <w:t>Kelas Kontrol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772"/>
        <w:gridCol w:w="674"/>
        <w:gridCol w:w="1060"/>
        <w:gridCol w:w="1003"/>
        <w:gridCol w:w="923"/>
        <w:gridCol w:w="1860"/>
      </w:tblGrid>
      <w:tr w:rsidR="002F3DA9" w:rsidRPr="00AD4C6E" w:rsidTr="007F3745">
        <w:tc>
          <w:tcPr>
            <w:tcW w:w="1255" w:type="dxa"/>
            <w:vMerge w:val="restart"/>
            <w:tcBorders>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Kelas</w:t>
            </w:r>
          </w:p>
        </w:tc>
        <w:tc>
          <w:tcPr>
            <w:tcW w:w="772" w:type="dxa"/>
            <w:vMerge w:val="restart"/>
            <w:tcBorders>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vertAlign w:val="subscript"/>
                <w:lang w:eastAsia="id-ID"/>
              </w:rPr>
            </w:pPr>
            <w:r w:rsidRPr="00AD4C6E">
              <w:rPr>
                <w:rFonts w:eastAsia="Calibri"/>
                <w:color w:val="000000"/>
                <w:lang w:eastAsia="id-ID"/>
              </w:rPr>
              <w:t>X</w:t>
            </w:r>
            <w:r w:rsidRPr="00AD4C6E">
              <w:rPr>
                <w:rFonts w:eastAsia="Calibri"/>
                <w:color w:val="000000"/>
                <w:vertAlign w:val="subscript"/>
                <w:lang w:eastAsia="id-ID"/>
              </w:rPr>
              <w:t>Maks</w:t>
            </w:r>
          </w:p>
        </w:tc>
        <w:tc>
          <w:tcPr>
            <w:tcW w:w="674" w:type="dxa"/>
            <w:vMerge w:val="restart"/>
            <w:tcBorders>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X</w:t>
            </w:r>
            <w:r w:rsidRPr="00AD4C6E">
              <w:rPr>
                <w:rFonts w:eastAsia="Calibri"/>
                <w:color w:val="000000"/>
                <w:vertAlign w:val="subscript"/>
                <w:lang w:eastAsia="id-ID"/>
              </w:rPr>
              <w:t>Min</w:t>
            </w:r>
          </w:p>
        </w:tc>
        <w:tc>
          <w:tcPr>
            <w:tcW w:w="2986" w:type="dxa"/>
            <w:gridSpan w:val="3"/>
            <w:tcBorders>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Ukuran Tendensi Sentral</w:t>
            </w:r>
          </w:p>
        </w:tc>
        <w:tc>
          <w:tcPr>
            <w:tcW w:w="1860" w:type="dxa"/>
            <w:vMerge w:val="restart"/>
            <w:tcBorders>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Standar Deviasi</w:t>
            </w:r>
          </w:p>
        </w:tc>
      </w:tr>
      <w:tr w:rsidR="002F3DA9" w:rsidRPr="00AD4C6E" w:rsidTr="007F3745">
        <w:tc>
          <w:tcPr>
            <w:tcW w:w="1255" w:type="dxa"/>
            <w:vMerge/>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p>
        </w:tc>
        <w:tc>
          <w:tcPr>
            <w:tcW w:w="772" w:type="dxa"/>
            <w:vMerge/>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p>
        </w:tc>
        <w:tc>
          <w:tcPr>
            <w:tcW w:w="674" w:type="dxa"/>
            <w:vMerge/>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p>
        </w:tc>
        <w:tc>
          <w:tcPr>
            <w:tcW w:w="1060" w:type="dxa"/>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Mean</w:t>
            </w:r>
          </w:p>
        </w:tc>
        <w:tc>
          <w:tcPr>
            <w:tcW w:w="1003" w:type="dxa"/>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Median</w:t>
            </w:r>
          </w:p>
        </w:tc>
        <w:tc>
          <w:tcPr>
            <w:tcW w:w="923" w:type="dxa"/>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Modus</w:t>
            </w:r>
          </w:p>
        </w:tc>
        <w:tc>
          <w:tcPr>
            <w:tcW w:w="1860" w:type="dxa"/>
            <w:vMerge/>
            <w:tcBorders>
              <w:top w:val="nil"/>
              <w:left w:val="nil"/>
              <w:bottom w:val="single" w:sz="4" w:space="0" w:color="auto"/>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p>
        </w:tc>
      </w:tr>
      <w:tr w:rsidR="002F3DA9" w:rsidRPr="00AD4C6E" w:rsidTr="007F3745">
        <w:tc>
          <w:tcPr>
            <w:tcW w:w="1255" w:type="dxa"/>
            <w:tcBorders>
              <w:top w:val="single" w:sz="4" w:space="0" w:color="auto"/>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Eksperimen</w:t>
            </w:r>
          </w:p>
        </w:tc>
        <w:tc>
          <w:tcPr>
            <w:tcW w:w="772" w:type="dxa"/>
            <w:tcBorders>
              <w:top w:val="single" w:sz="4" w:space="0" w:color="auto"/>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100</w:t>
            </w:r>
          </w:p>
        </w:tc>
        <w:tc>
          <w:tcPr>
            <w:tcW w:w="674" w:type="dxa"/>
            <w:tcBorders>
              <w:top w:val="single" w:sz="4" w:space="0" w:color="auto"/>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60</w:t>
            </w:r>
          </w:p>
        </w:tc>
        <w:tc>
          <w:tcPr>
            <w:tcW w:w="1060" w:type="dxa"/>
            <w:tcBorders>
              <w:top w:val="single" w:sz="4" w:space="0" w:color="auto"/>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81</w:t>
            </w:r>
          </w:p>
        </w:tc>
        <w:tc>
          <w:tcPr>
            <w:tcW w:w="1003" w:type="dxa"/>
            <w:tcBorders>
              <w:top w:val="single" w:sz="4" w:space="0" w:color="auto"/>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80</w:t>
            </w:r>
          </w:p>
        </w:tc>
        <w:tc>
          <w:tcPr>
            <w:tcW w:w="923" w:type="dxa"/>
            <w:tcBorders>
              <w:top w:val="single" w:sz="4" w:space="0" w:color="auto"/>
              <w:left w:val="nil"/>
              <w:bottom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80</w:t>
            </w:r>
          </w:p>
        </w:tc>
        <w:tc>
          <w:tcPr>
            <w:tcW w:w="1860" w:type="dxa"/>
            <w:tcBorders>
              <w:top w:val="single" w:sz="4" w:space="0" w:color="auto"/>
              <w:left w:val="nil"/>
              <w:bottom w:val="nil"/>
              <w:right w:val="nil"/>
            </w:tcBorders>
            <w:shd w:val="clear" w:color="auto" w:fill="auto"/>
            <w:vAlign w:val="center"/>
          </w:tcPr>
          <w:p w:rsidR="002F3DA9" w:rsidRPr="00AD4C6E" w:rsidRDefault="002F3DA9" w:rsidP="007B69FD">
            <w:pPr>
              <w:jc w:val="center"/>
              <w:rPr>
                <w:color w:val="000000"/>
              </w:rPr>
            </w:pPr>
            <w:r w:rsidRPr="00AD4C6E">
              <w:rPr>
                <w:color w:val="000000"/>
              </w:rPr>
              <w:t>10,71153</w:t>
            </w:r>
          </w:p>
        </w:tc>
      </w:tr>
      <w:tr w:rsidR="002F3DA9" w:rsidRPr="00AD4C6E" w:rsidTr="007F3745">
        <w:tc>
          <w:tcPr>
            <w:tcW w:w="1255" w:type="dxa"/>
            <w:tcBorders>
              <w:top w:val="nil"/>
              <w:left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Kontrol</w:t>
            </w:r>
          </w:p>
        </w:tc>
        <w:tc>
          <w:tcPr>
            <w:tcW w:w="772" w:type="dxa"/>
            <w:tcBorders>
              <w:top w:val="nil"/>
              <w:left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90</w:t>
            </w:r>
          </w:p>
        </w:tc>
        <w:tc>
          <w:tcPr>
            <w:tcW w:w="674" w:type="dxa"/>
            <w:tcBorders>
              <w:top w:val="nil"/>
              <w:left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40</w:t>
            </w:r>
          </w:p>
        </w:tc>
        <w:tc>
          <w:tcPr>
            <w:tcW w:w="1060" w:type="dxa"/>
            <w:tcBorders>
              <w:top w:val="nil"/>
              <w:left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63,5</w:t>
            </w:r>
          </w:p>
        </w:tc>
        <w:tc>
          <w:tcPr>
            <w:tcW w:w="1003" w:type="dxa"/>
            <w:tcBorders>
              <w:top w:val="nil"/>
              <w:left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60</w:t>
            </w:r>
          </w:p>
        </w:tc>
        <w:tc>
          <w:tcPr>
            <w:tcW w:w="923" w:type="dxa"/>
            <w:tcBorders>
              <w:top w:val="nil"/>
              <w:left w:val="nil"/>
              <w:right w:val="nil"/>
            </w:tcBorders>
            <w:shd w:val="clear" w:color="auto" w:fill="auto"/>
            <w:vAlign w:val="center"/>
          </w:tcPr>
          <w:p w:rsidR="002F3DA9" w:rsidRPr="00AD4C6E" w:rsidRDefault="002F3DA9" w:rsidP="007B69FD">
            <w:pPr>
              <w:autoSpaceDE w:val="0"/>
              <w:autoSpaceDN w:val="0"/>
              <w:adjustRightInd w:val="0"/>
              <w:jc w:val="center"/>
              <w:rPr>
                <w:rFonts w:eastAsia="Calibri"/>
                <w:color w:val="000000"/>
                <w:lang w:eastAsia="id-ID"/>
              </w:rPr>
            </w:pPr>
            <w:r w:rsidRPr="00AD4C6E">
              <w:rPr>
                <w:rFonts w:eastAsia="Calibri"/>
                <w:color w:val="000000"/>
                <w:lang w:eastAsia="id-ID"/>
              </w:rPr>
              <w:t>60</w:t>
            </w:r>
          </w:p>
        </w:tc>
        <w:tc>
          <w:tcPr>
            <w:tcW w:w="1860" w:type="dxa"/>
            <w:tcBorders>
              <w:top w:val="nil"/>
              <w:left w:val="nil"/>
              <w:right w:val="nil"/>
            </w:tcBorders>
            <w:shd w:val="clear" w:color="auto" w:fill="auto"/>
            <w:vAlign w:val="center"/>
          </w:tcPr>
          <w:p w:rsidR="002F3DA9" w:rsidRPr="00AD4C6E" w:rsidRDefault="002F3DA9" w:rsidP="007B69FD">
            <w:pPr>
              <w:jc w:val="center"/>
              <w:rPr>
                <w:color w:val="000000"/>
              </w:rPr>
            </w:pPr>
            <w:r w:rsidRPr="00AD4C6E">
              <w:rPr>
                <w:color w:val="000000"/>
              </w:rPr>
              <w:t>14,24411</w:t>
            </w:r>
          </w:p>
        </w:tc>
      </w:tr>
    </w:tbl>
    <w:p w:rsidR="00D15B39" w:rsidRDefault="00D15B39" w:rsidP="007B69FD">
      <w:pPr>
        <w:jc w:val="both"/>
        <w:rPr>
          <w:rStyle w:val="longtext"/>
          <w:lang w:val="en-US"/>
        </w:rPr>
      </w:pPr>
    </w:p>
    <w:p w:rsidR="0042798F" w:rsidRDefault="0042798F" w:rsidP="007B69FD">
      <w:pPr>
        <w:ind w:firstLine="426"/>
        <w:jc w:val="both"/>
      </w:pPr>
      <w:r>
        <w:t xml:space="preserve">Dari Hasil perhitungan dan grafik di atas dapat disimpulkan bahwa hasil </w:t>
      </w:r>
      <w:r w:rsidR="00E1018D">
        <w:rPr>
          <w:i/>
          <w:iCs/>
        </w:rPr>
        <w:t>post</w:t>
      </w:r>
      <w:r>
        <w:rPr>
          <w:i/>
          <w:iCs/>
        </w:rPr>
        <w:t xml:space="preserve">test </w:t>
      </w:r>
      <w:r>
        <w:t xml:space="preserve">siswa kelas X MA Annizhomiyyah yang diajar menggunakan model pembelajaran </w:t>
      </w:r>
      <w:r>
        <w:rPr>
          <w:i/>
          <w:iCs/>
        </w:rPr>
        <w:t xml:space="preserve">Problem Based Learning </w:t>
      </w:r>
      <w:r>
        <w:t xml:space="preserve">lebih baik dibandingkan dengan siswa yang diajar dengan menggunakan model pembelajaran konvensional, ini terlihat dari rata-rata hasil belajar </w:t>
      </w:r>
      <w:r w:rsidR="00E1018D">
        <w:rPr>
          <w:i/>
          <w:iCs/>
        </w:rPr>
        <w:t>post</w:t>
      </w:r>
      <w:r>
        <w:rPr>
          <w:i/>
          <w:iCs/>
        </w:rPr>
        <w:t xml:space="preserve">test </w:t>
      </w:r>
      <w:r>
        <w:t>siswa kelas eksperimen (</w:t>
      </w:r>
      <w:r>
        <w:rPr>
          <w:rFonts w:eastAsia="Calibri"/>
          <w:color w:val="000000"/>
          <w:lang w:eastAsia="id-ID"/>
        </w:rPr>
        <w:t>81</w:t>
      </w:r>
      <w:r>
        <w:t>) &gt; hasil post test siswa kelas kontrol (</w:t>
      </w:r>
      <w:r>
        <w:rPr>
          <w:rFonts w:eastAsia="Calibri"/>
          <w:color w:val="000000"/>
          <w:lang w:eastAsia="id-ID"/>
        </w:rPr>
        <w:t>63,5</w:t>
      </w:r>
      <w:r>
        <w:t>).</w:t>
      </w:r>
    </w:p>
    <w:p w:rsidR="0042798F" w:rsidRDefault="0042798F" w:rsidP="007B69FD">
      <w:pPr>
        <w:ind w:firstLine="426"/>
        <w:jc w:val="both"/>
        <w:rPr>
          <w:color w:val="000000"/>
        </w:rPr>
      </w:pPr>
      <w:r>
        <w:rPr>
          <w:color w:val="000000"/>
        </w:rPr>
        <w:t xml:space="preserve">Gain adalah selisih nilai </w:t>
      </w:r>
      <w:r w:rsidR="001502B5">
        <w:rPr>
          <w:i/>
          <w:color w:val="000000"/>
        </w:rPr>
        <w:t>post</w:t>
      </w:r>
      <w:r>
        <w:rPr>
          <w:i/>
          <w:color w:val="000000"/>
        </w:rPr>
        <w:t>tes</w:t>
      </w:r>
      <w:r w:rsidR="00E1018D">
        <w:rPr>
          <w:i/>
          <w:color w:val="000000"/>
        </w:rPr>
        <w:t>t</w:t>
      </w:r>
      <w:r>
        <w:rPr>
          <w:color w:val="000000"/>
        </w:rPr>
        <w:t xml:space="preserve"> dan </w:t>
      </w:r>
      <w:r w:rsidR="00E1018D">
        <w:rPr>
          <w:i/>
          <w:color w:val="000000"/>
        </w:rPr>
        <w:t>pre</w:t>
      </w:r>
      <w:r>
        <w:rPr>
          <w:i/>
          <w:color w:val="000000"/>
        </w:rPr>
        <w:t>test</w:t>
      </w:r>
      <w:r>
        <w:rPr>
          <w:color w:val="000000"/>
        </w:rPr>
        <w:t xml:space="preserve">, gain menunjukan tingkat pemahaman atau penguasaan konsep peserta didik setelah pembelajaran dilakukan guru. Untuk menghindari kesimpulan biasa penelitian, karena pada nilai </w:t>
      </w:r>
      <w:r w:rsidR="00E1018D">
        <w:rPr>
          <w:i/>
          <w:color w:val="000000"/>
        </w:rPr>
        <w:t>pre</w:t>
      </w:r>
      <w:r>
        <w:rPr>
          <w:i/>
          <w:color w:val="000000"/>
        </w:rPr>
        <w:t>test</w:t>
      </w:r>
      <w:r>
        <w:rPr>
          <w:color w:val="000000"/>
        </w:rPr>
        <w:t xml:space="preserve"> kedua kelompok penelitian sudah berbeda digunakan uji normalitas. Adapun hasil perhitungan N-Gain yang dihitung berdasarkan nilai </w:t>
      </w:r>
      <w:r>
        <w:rPr>
          <w:i/>
          <w:color w:val="000000"/>
        </w:rPr>
        <w:t>pre test</w:t>
      </w:r>
      <w:r>
        <w:rPr>
          <w:color w:val="000000"/>
        </w:rPr>
        <w:t xml:space="preserve"> dan </w:t>
      </w:r>
      <w:r w:rsidR="00E1018D">
        <w:rPr>
          <w:i/>
          <w:color w:val="000000"/>
        </w:rPr>
        <w:t>post</w:t>
      </w:r>
      <w:r>
        <w:rPr>
          <w:i/>
          <w:color w:val="000000"/>
        </w:rPr>
        <w:t>test</w:t>
      </w:r>
      <w:r>
        <w:rPr>
          <w:color w:val="000000"/>
        </w:rPr>
        <w:t xml:space="preserve"> kelas eksperimen dan kelas kontrol </w:t>
      </w:r>
      <w:r w:rsidR="002D2205">
        <w:rPr>
          <w:color w:val="000000"/>
        </w:rPr>
        <w:t>seperti</w:t>
      </w:r>
      <w:r>
        <w:rPr>
          <w:color w:val="000000"/>
        </w:rPr>
        <w:t xml:space="preserve"> pada Tabel </w:t>
      </w:r>
      <w:r w:rsidR="008E12C7">
        <w:rPr>
          <w:color w:val="000000"/>
          <w:lang w:val="id-ID"/>
        </w:rPr>
        <w:t>4</w:t>
      </w:r>
      <w:r>
        <w:rPr>
          <w:color w:val="000000"/>
          <w:lang w:val="en-US"/>
        </w:rPr>
        <w:t xml:space="preserve"> berikut</w:t>
      </w:r>
      <w:r>
        <w:rPr>
          <w:color w:val="000000"/>
        </w:rPr>
        <w:t>.</w:t>
      </w:r>
    </w:p>
    <w:p w:rsidR="00E603B9" w:rsidRPr="009E0850" w:rsidRDefault="008E12C7" w:rsidP="007B69FD">
      <w:pPr>
        <w:autoSpaceDE w:val="0"/>
        <w:autoSpaceDN w:val="0"/>
        <w:adjustRightInd w:val="0"/>
        <w:jc w:val="both"/>
        <w:rPr>
          <w:color w:val="000000"/>
        </w:rPr>
      </w:pPr>
      <w:proofErr w:type="gramStart"/>
      <w:r>
        <w:rPr>
          <w:color w:val="000000"/>
        </w:rPr>
        <w:t xml:space="preserve">Tabel </w:t>
      </w:r>
      <w:r>
        <w:rPr>
          <w:color w:val="000000"/>
          <w:lang w:val="id-ID"/>
        </w:rPr>
        <w:t>4</w:t>
      </w:r>
      <w:r w:rsidR="009E0850">
        <w:rPr>
          <w:color w:val="000000"/>
        </w:rPr>
        <w:t>.</w:t>
      </w:r>
      <w:proofErr w:type="gramEnd"/>
      <w:r w:rsidR="009E0850">
        <w:rPr>
          <w:color w:val="000000"/>
        </w:rPr>
        <w:t xml:space="preserve"> </w:t>
      </w:r>
      <w:r w:rsidR="00E603B9">
        <w:rPr>
          <w:color w:val="000000"/>
        </w:rPr>
        <w:t>Rekapitulasi Hasil N-Gain</w:t>
      </w:r>
      <w:r w:rsidR="009E0850">
        <w:rPr>
          <w:color w:val="000000"/>
        </w:rPr>
        <w:t xml:space="preserve"> </w:t>
      </w:r>
      <w:r w:rsidR="00E603B9">
        <w:rPr>
          <w:color w:val="000000"/>
        </w:rPr>
        <w:t>Kelas Eksperimen dan Kelas Kontrol</w:t>
      </w:r>
    </w:p>
    <w:tbl>
      <w:tblPr>
        <w:tblW w:w="7230" w:type="dxa"/>
        <w:tblInd w:w="108" w:type="dxa"/>
        <w:tblBorders>
          <w:top w:val="single" w:sz="4" w:space="0" w:color="000000"/>
          <w:bottom w:val="single" w:sz="4" w:space="0" w:color="000000"/>
        </w:tblBorders>
        <w:tblLayout w:type="fixed"/>
        <w:tblLook w:val="04A0" w:firstRow="1" w:lastRow="0" w:firstColumn="1" w:lastColumn="0" w:noHBand="0" w:noVBand="1"/>
      </w:tblPr>
      <w:tblGrid>
        <w:gridCol w:w="2127"/>
        <w:gridCol w:w="1701"/>
        <w:gridCol w:w="1134"/>
        <w:gridCol w:w="1134"/>
        <w:gridCol w:w="1134"/>
      </w:tblGrid>
      <w:tr w:rsidR="009E0850" w:rsidTr="007F3745">
        <w:tc>
          <w:tcPr>
            <w:tcW w:w="2127" w:type="dxa"/>
            <w:tcBorders>
              <w:top w:val="single" w:sz="4" w:space="0" w:color="000000"/>
              <w:bottom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Nilai</w:t>
            </w:r>
          </w:p>
        </w:tc>
        <w:tc>
          <w:tcPr>
            <w:tcW w:w="1701" w:type="dxa"/>
            <w:tcBorders>
              <w:top w:val="single" w:sz="4" w:space="0" w:color="000000"/>
              <w:bottom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Kelas Eksperimen</w:t>
            </w:r>
          </w:p>
        </w:tc>
        <w:tc>
          <w:tcPr>
            <w:tcW w:w="1134" w:type="dxa"/>
            <w:tcBorders>
              <w:top w:val="single" w:sz="4" w:space="0" w:color="000000"/>
              <w:bottom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Kriteria N-Gain</w:t>
            </w:r>
          </w:p>
        </w:tc>
        <w:tc>
          <w:tcPr>
            <w:tcW w:w="1134" w:type="dxa"/>
            <w:tcBorders>
              <w:top w:val="single" w:sz="4" w:space="0" w:color="000000"/>
              <w:bottom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Kelas Kontrol</w:t>
            </w:r>
          </w:p>
        </w:tc>
        <w:tc>
          <w:tcPr>
            <w:tcW w:w="1134" w:type="dxa"/>
            <w:tcBorders>
              <w:top w:val="single" w:sz="4" w:space="0" w:color="000000"/>
              <w:bottom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Kriteria N-Gain</w:t>
            </w:r>
          </w:p>
        </w:tc>
      </w:tr>
      <w:tr w:rsidR="009E0850" w:rsidTr="007F3745">
        <w:tc>
          <w:tcPr>
            <w:tcW w:w="2127" w:type="dxa"/>
            <w:tcBorders>
              <w:top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Nilai gain terendah</w:t>
            </w:r>
          </w:p>
        </w:tc>
        <w:tc>
          <w:tcPr>
            <w:tcW w:w="1701" w:type="dxa"/>
            <w:tcBorders>
              <w:top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0,4</w:t>
            </w:r>
          </w:p>
        </w:tc>
        <w:tc>
          <w:tcPr>
            <w:tcW w:w="1134" w:type="dxa"/>
            <w:tcBorders>
              <w:top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Sedang</w:t>
            </w:r>
          </w:p>
        </w:tc>
        <w:tc>
          <w:tcPr>
            <w:tcW w:w="1134" w:type="dxa"/>
            <w:tcBorders>
              <w:top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0,25</w:t>
            </w:r>
          </w:p>
        </w:tc>
        <w:tc>
          <w:tcPr>
            <w:tcW w:w="1134" w:type="dxa"/>
            <w:tcBorders>
              <w:top w:val="single" w:sz="4" w:space="0" w:color="auto"/>
            </w:tcBorders>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Rendah</w:t>
            </w:r>
          </w:p>
        </w:tc>
      </w:tr>
      <w:tr w:rsidR="009E0850" w:rsidTr="007F3745">
        <w:tc>
          <w:tcPr>
            <w:tcW w:w="2127"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Nilai gain tertinggi</w:t>
            </w:r>
          </w:p>
        </w:tc>
        <w:tc>
          <w:tcPr>
            <w:tcW w:w="1701"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1</w:t>
            </w:r>
          </w:p>
        </w:tc>
        <w:tc>
          <w:tcPr>
            <w:tcW w:w="1134"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Tinggi</w:t>
            </w:r>
          </w:p>
        </w:tc>
        <w:tc>
          <w:tcPr>
            <w:tcW w:w="1134"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0,71</w:t>
            </w:r>
          </w:p>
        </w:tc>
        <w:tc>
          <w:tcPr>
            <w:tcW w:w="1134"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Tinggi</w:t>
            </w:r>
          </w:p>
        </w:tc>
      </w:tr>
      <w:tr w:rsidR="009E0850" w:rsidTr="007F3745">
        <w:tc>
          <w:tcPr>
            <w:tcW w:w="2127"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Gain rata-rata</w:t>
            </w:r>
          </w:p>
        </w:tc>
        <w:tc>
          <w:tcPr>
            <w:tcW w:w="1701"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0,72</w:t>
            </w:r>
          </w:p>
        </w:tc>
        <w:tc>
          <w:tcPr>
            <w:tcW w:w="1134"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Tinggi</w:t>
            </w:r>
          </w:p>
        </w:tc>
        <w:tc>
          <w:tcPr>
            <w:tcW w:w="1134"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0,52</w:t>
            </w:r>
          </w:p>
        </w:tc>
        <w:tc>
          <w:tcPr>
            <w:tcW w:w="1134" w:type="dxa"/>
            <w:vAlign w:val="center"/>
            <w:hideMark/>
          </w:tcPr>
          <w:p w:rsidR="00E603B9" w:rsidRDefault="00E603B9" w:rsidP="007B69FD">
            <w:pPr>
              <w:autoSpaceDE w:val="0"/>
              <w:autoSpaceDN w:val="0"/>
              <w:adjustRightInd w:val="0"/>
              <w:jc w:val="center"/>
              <w:rPr>
                <w:rFonts w:eastAsia="Calibri"/>
                <w:color w:val="000000"/>
                <w:lang w:val="id-ID" w:eastAsia="id-ID"/>
              </w:rPr>
            </w:pPr>
            <w:r>
              <w:rPr>
                <w:rFonts w:eastAsia="Calibri"/>
                <w:color w:val="000000"/>
                <w:lang w:eastAsia="id-ID"/>
              </w:rPr>
              <w:t>Sedang</w:t>
            </w:r>
          </w:p>
        </w:tc>
      </w:tr>
    </w:tbl>
    <w:p w:rsidR="00E603B9" w:rsidRDefault="00E603B9" w:rsidP="007B69FD">
      <w:pPr>
        <w:ind w:firstLine="426"/>
        <w:jc w:val="both"/>
      </w:pPr>
    </w:p>
    <w:p w:rsidR="00E603B9" w:rsidRDefault="00E603B9" w:rsidP="007B69FD">
      <w:pPr>
        <w:autoSpaceDE w:val="0"/>
        <w:autoSpaceDN w:val="0"/>
        <w:adjustRightInd w:val="0"/>
        <w:ind w:firstLine="426"/>
        <w:jc w:val="both"/>
        <w:rPr>
          <w:rFonts w:eastAsia="Calibri"/>
          <w:color w:val="000000"/>
          <w:lang w:eastAsia="id-ID"/>
        </w:rPr>
      </w:pPr>
      <w:proofErr w:type="gramStart"/>
      <w:r>
        <w:rPr>
          <w:rFonts w:eastAsia="Calibri"/>
          <w:color w:val="000000"/>
          <w:lang w:eastAsia="id-ID"/>
        </w:rPr>
        <w:t xml:space="preserve">Berdasarkan data hasil perhitungan N-Gain </w:t>
      </w:r>
      <w:r w:rsidR="008E12C7">
        <w:rPr>
          <w:rFonts w:eastAsia="Calibri"/>
          <w:color w:val="000000"/>
          <w:lang w:eastAsia="id-ID"/>
        </w:rPr>
        <w:t xml:space="preserve">pada Tabel </w:t>
      </w:r>
      <w:r w:rsidR="008E12C7">
        <w:rPr>
          <w:rFonts w:eastAsia="Calibri"/>
          <w:color w:val="000000"/>
          <w:lang w:val="id-ID" w:eastAsia="id-ID"/>
        </w:rPr>
        <w:t>4</w:t>
      </w:r>
      <w:r>
        <w:rPr>
          <w:rFonts w:eastAsia="Calibri"/>
          <w:color w:val="000000"/>
          <w:lang w:eastAsia="id-ID"/>
        </w:rPr>
        <w:t xml:space="preserve"> bahwa tingkat penguasaan konsep yang terkait dengan kemampuan pemecahan masalah siswa kelas eksperimen lebih tinggi dibandingkan dengan kelas kontrol.</w:t>
      </w:r>
      <w:proofErr w:type="gramEnd"/>
    </w:p>
    <w:p w:rsidR="00E603B9" w:rsidRDefault="00E603B9" w:rsidP="007B69FD">
      <w:pPr>
        <w:autoSpaceDE w:val="0"/>
        <w:autoSpaceDN w:val="0"/>
        <w:adjustRightInd w:val="0"/>
        <w:ind w:left="-10" w:firstLine="436"/>
        <w:jc w:val="both"/>
      </w:pPr>
      <w:r>
        <w:rPr>
          <w:rFonts w:eastAsia="Calibri"/>
          <w:color w:val="000000"/>
          <w:lang w:eastAsia="id-ID"/>
        </w:rPr>
        <w:t xml:space="preserve">Dalam penelitian ini, uji normalitas dilakukan dengan menggunakan metode uji </w:t>
      </w:r>
      <w:r>
        <w:rPr>
          <w:rFonts w:eastAsia="Calibri"/>
          <w:i/>
          <w:color w:val="000000"/>
          <w:lang w:eastAsia="id-ID"/>
        </w:rPr>
        <w:t>Lilliefors</w:t>
      </w:r>
      <w:r>
        <w:rPr>
          <w:rFonts w:eastAsia="Calibri"/>
          <w:color w:val="000000"/>
          <w:lang w:eastAsia="id-ID"/>
        </w:rPr>
        <w:t xml:space="preserve">. </w:t>
      </w:r>
      <w:r>
        <w:t xml:space="preserve">Uji normalitas ini mengambil nilai hasil belajar siswa yang berupa </w:t>
      </w:r>
      <w:r w:rsidR="00E1018D">
        <w:rPr>
          <w:i/>
          <w:iCs/>
        </w:rPr>
        <w:t>post</w:t>
      </w:r>
      <w:r>
        <w:rPr>
          <w:i/>
          <w:iCs/>
        </w:rPr>
        <w:t xml:space="preserve">test </w:t>
      </w:r>
      <w:r>
        <w:t xml:space="preserve">dari kelompok eksperimen dan kelompok kontrol. Uji normalitas dilakukan secara manual dan dengan bantuan program </w:t>
      </w:r>
      <w:r>
        <w:rPr>
          <w:i/>
        </w:rPr>
        <w:t>microsoft excel</w:t>
      </w:r>
      <w:r>
        <w:t>. Adapun rumusan hipotesisnya yaitu:</w:t>
      </w:r>
    </w:p>
    <w:p w:rsidR="00E603B9" w:rsidRDefault="00E603B9" w:rsidP="007B69FD">
      <w:pPr>
        <w:pStyle w:val="ListParagraph"/>
        <w:ind w:left="0"/>
        <w:jc w:val="both"/>
      </w:pPr>
      <w:r>
        <w:t>H</w:t>
      </w:r>
      <w:r>
        <w:rPr>
          <w:vertAlign w:val="subscript"/>
        </w:rPr>
        <w:t>0</w:t>
      </w:r>
      <w:r>
        <w:tab/>
        <w:t>: Sampel berasal dari populasi yang berdistribusi normal (L</w:t>
      </w:r>
      <w:r>
        <w:rPr>
          <w:vertAlign w:val="subscript"/>
        </w:rPr>
        <w:t>Maks</w:t>
      </w:r>
      <w:r>
        <w:t>≤L</w:t>
      </w:r>
      <w:r>
        <w:rPr>
          <w:vertAlign w:val="subscript"/>
        </w:rPr>
        <w:t>tabel</w:t>
      </w:r>
      <w:r>
        <w:t>)</w:t>
      </w:r>
    </w:p>
    <w:p w:rsidR="00E603B9" w:rsidRDefault="00E603B9" w:rsidP="007B69FD">
      <w:pPr>
        <w:pStyle w:val="ListParagraph"/>
        <w:ind w:left="0"/>
        <w:jc w:val="both"/>
      </w:pPr>
      <w:r>
        <w:t>H</w:t>
      </w:r>
      <w:r>
        <w:rPr>
          <w:vertAlign w:val="subscript"/>
        </w:rPr>
        <w:t>1</w:t>
      </w:r>
      <w:r>
        <w:tab/>
        <w:t>: Sampel tidak berasal dari populasi yang berdistribusi normal (L</w:t>
      </w:r>
      <w:r>
        <w:rPr>
          <w:vertAlign w:val="subscript"/>
        </w:rPr>
        <w:t>Maks</w:t>
      </w:r>
      <w:r>
        <w:t>˃L</w:t>
      </w:r>
      <w:r>
        <w:rPr>
          <w:vertAlign w:val="subscript"/>
        </w:rPr>
        <w:t>tabel</w:t>
      </w:r>
      <w:r>
        <w:t>)</w:t>
      </w:r>
    </w:p>
    <w:p w:rsidR="00E603B9" w:rsidRPr="00ED4D79" w:rsidRDefault="00E603B9" w:rsidP="00ED4D79">
      <w:pPr>
        <w:ind w:firstLine="426"/>
        <w:jc w:val="both"/>
        <w:rPr>
          <w:lang w:val="id-ID"/>
        </w:rPr>
      </w:pPr>
      <w:r>
        <w:t>Berdasarkan hasil perhitungan data dari kelompok eksperimen diambil nilai L=</w:t>
      </w:r>
      <w:r>
        <w:rPr>
          <w:b/>
          <w:color w:val="000000"/>
          <w:lang w:eastAsia="id-ID"/>
        </w:rPr>
        <w:t xml:space="preserve"> </w:t>
      </w:r>
      <w:r w:rsidR="00AC0A1A">
        <w:fldChar w:fldCharType="begin"/>
      </w:r>
      <w:r>
        <w:instrText xml:space="preserve"> QUOTE </w:instrText>
      </w:r>
      <m:oMath>
        <m:d>
          <m:dPr>
            <m:begChr m:val="|"/>
            <m:endChr m:val="|"/>
            <m:ctrlPr>
              <w:rPr>
                <w:rFonts w:ascii="Cambria Math" w:hAnsi="Cambria Math"/>
                <w:b/>
                <w:i/>
                <w:color w:val="000000"/>
                <w:lang w:eastAsia="id-ID"/>
              </w:rPr>
            </m:ctrlPr>
          </m:dPr>
          <m:e>
            <m:r>
              <m:rPr>
                <m:sty m:val="p"/>
              </m:rPr>
              <w:rPr>
                <w:rFonts w:ascii="Cambria Math" w:hAnsi="Cambria Math"/>
                <w:color w:val="000000"/>
                <w:lang w:eastAsia="id-ID"/>
              </w:rPr>
              <m:t>F</m:t>
            </m:r>
            <m:d>
              <m:dPr>
                <m:ctrlPr>
                  <w:rPr>
                    <w:rFonts w:ascii="Cambria Math" w:hAnsi="Cambria Math"/>
                    <w:b/>
                    <w:color w:val="000000"/>
                    <w:lang w:eastAsia="id-ID"/>
                  </w:rPr>
                </m:ctrlPr>
              </m:dPr>
              <m:e>
                <m:r>
                  <m:rPr>
                    <m:sty m:val="p"/>
                  </m:rPr>
                  <w:rPr>
                    <w:rFonts w:ascii="Cambria Math" w:hAnsi="Cambria Math"/>
                    <w:color w:val="000000"/>
                    <w:lang w:eastAsia="id-ID"/>
                  </w:rPr>
                  <m:t>Zi</m:t>
                </m:r>
              </m:e>
            </m:d>
            <m:r>
              <m:rPr>
                <m:sty m:val="p"/>
              </m:rPr>
              <w:rPr>
                <w:rFonts w:ascii="Cambria Math" w:hAnsi="Cambria Math"/>
                <w:color w:val="000000"/>
                <w:lang w:eastAsia="id-ID"/>
              </w:rPr>
              <m:t>-S(Zi)</m:t>
            </m:r>
          </m:e>
        </m:d>
      </m:oMath>
      <w:r>
        <w:instrText xml:space="preserve"> </w:instrText>
      </w:r>
      <w:r w:rsidR="00AC0A1A">
        <w:fldChar w:fldCharType="separate"/>
      </w:r>
      <w:r>
        <w:t xml:space="preserve">| </w:t>
      </w:r>
      <w:proofErr w:type="gramStart"/>
      <w:r>
        <w:rPr>
          <w:lang w:eastAsia="id-ID"/>
        </w:rPr>
        <w:t>F(</w:t>
      </w:r>
      <w:proofErr w:type="gramEnd"/>
      <w:r>
        <w:rPr>
          <w:lang w:eastAsia="id-ID"/>
        </w:rPr>
        <w:t>Zi) - S(Zi)</w:t>
      </w:r>
      <w:r>
        <w:rPr>
          <w:b/>
          <w:lang w:eastAsia="id-ID"/>
        </w:rPr>
        <w:t xml:space="preserve"> |</w:t>
      </w:r>
      <w:r w:rsidR="00AC0A1A">
        <w:fldChar w:fldCharType="end"/>
      </w:r>
      <w:r>
        <w:t xml:space="preserve"> yang </w:t>
      </w:r>
      <w:r w:rsidR="00E1018D">
        <w:t>paling besar yaitu 0,1141,</w:t>
      </w:r>
      <w:r>
        <w:t xml:space="preserve"> </w:t>
      </w:r>
      <w:r w:rsidR="00E1018D">
        <w:t xml:space="preserve">sedangkan </w:t>
      </w:r>
      <w:r>
        <w:t xml:space="preserve">berdasarkan pada tabel nilai kritik uji </w:t>
      </w:r>
      <w:r>
        <w:rPr>
          <w:i/>
        </w:rPr>
        <w:t>Lilliefors</w:t>
      </w:r>
      <w:r>
        <w:t xml:space="preserve"> pada taraf signifikansi 5% dengan ukuran sampel n = 20 adalah 0,190. Oleh karena L</w:t>
      </w:r>
      <w:r>
        <w:rPr>
          <w:vertAlign w:val="subscript"/>
        </w:rPr>
        <w:t>hitung</w:t>
      </w:r>
      <w:r>
        <w:t xml:space="preserve"> &lt; L</w:t>
      </w:r>
      <w:r>
        <w:rPr>
          <w:vertAlign w:val="subscript"/>
        </w:rPr>
        <w:t xml:space="preserve">tabel </w:t>
      </w:r>
      <w:r>
        <w:t>maka H</w:t>
      </w:r>
      <w:r>
        <w:rPr>
          <w:vertAlign w:val="subscript"/>
        </w:rPr>
        <w:t>0</w:t>
      </w:r>
      <w:r>
        <w:t xml:space="preserve"> diterima yang artinya distribusi frekuens</w:t>
      </w:r>
      <w:r w:rsidR="00E1018D">
        <w:t>i data yang diuji adalah normal,</w:t>
      </w:r>
      <w:r>
        <w:t xml:space="preserve"> </w:t>
      </w:r>
      <w:r w:rsidR="00E1018D">
        <w:t xml:space="preserve">sehingga </w:t>
      </w:r>
      <w:r>
        <w:t>dapat disimpulkan bahwa distribusi data kelompok eksperimen berdistribusi normal.</w:t>
      </w:r>
      <w:r w:rsidR="00E1018D">
        <w:t xml:space="preserve"> </w:t>
      </w:r>
      <w:r>
        <w:rPr>
          <w:rFonts w:eastAsia="Calibri"/>
          <w:color w:val="000000"/>
          <w:lang w:eastAsia="id-ID"/>
        </w:rPr>
        <w:t xml:space="preserve">Setelah diketahui bahwa data berdistribusi normal, dilakukan pengujian homogenitas terhadap data tersebut. Dalam penelitian ini, uji homogenitas dilakukan dengan menggunakan metode uji </w:t>
      </w:r>
      <w:r>
        <w:rPr>
          <w:rFonts w:eastAsia="Calibri"/>
          <w:i/>
          <w:color w:val="000000"/>
          <w:lang w:eastAsia="id-ID"/>
        </w:rPr>
        <w:t>Bartlett</w:t>
      </w:r>
      <w:r>
        <w:rPr>
          <w:rFonts w:eastAsia="Calibri"/>
          <w:color w:val="000000"/>
          <w:lang w:eastAsia="id-ID"/>
        </w:rPr>
        <w:t xml:space="preserve">. </w:t>
      </w:r>
      <w:proofErr w:type="gramStart"/>
      <w:r>
        <w:rPr>
          <w:rFonts w:eastAsia="Calibri"/>
          <w:color w:val="000000"/>
          <w:lang w:eastAsia="id-ID"/>
        </w:rPr>
        <w:t xml:space="preserve">Adapun hasil perhitungan uji bartlet </w:t>
      </w:r>
      <w:r w:rsidR="002D2205">
        <w:rPr>
          <w:rFonts w:eastAsia="Calibri"/>
          <w:color w:val="000000"/>
          <w:lang w:eastAsia="id-ID"/>
        </w:rPr>
        <w:t>seperti</w:t>
      </w:r>
      <w:r>
        <w:rPr>
          <w:rFonts w:eastAsia="Calibri"/>
          <w:color w:val="000000"/>
          <w:lang w:eastAsia="id-ID"/>
        </w:rPr>
        <w:t xml:space="preserve"> pada Tabel </w:t>
      </w:r>
      <w:r>
        <w:rPr>
          <w:rFonts w:eastAsia="Calibri"/>
          <w:color w:val="000000"/>
          <w:lang w:val="en-US" w:eastAsia="id-ID"/>
        </w:rPr>
        <w:t xml:space="preserve">4 </w:t>
      </w:r>
      <w:r>
        <w:rPr>
          <w:rFonts w:eastAsia="Calibri"/>
          <w:color w:val="000000"/>
          <w:lang w:eastAsia="id-ID"/>
        </w:rPr>
        <w:t>berikut.</w:t>
      </w:r>
      <w:proofErr w:type="gramEnd"/>
    </w:p>
    <w:p w:rsidR="00E603B9" w:rsidRPr="009E0850" w:rsidRDefault="009E0850" w:rsidP="007B69FD">
      <w:pPr>
        <w:pStyle w:val="ListParagraph"/>
        <w:tabs>
          <w:tab w:val="left" w:pos="6804"/>
        </w:tabs>
        <w:ind w:left="0"/>
        <w:jc w:val="both"/>
      </w:pPr>
      <w:proofErr w:type="gramStart"/>
      <w:r>
        <w:t xml:space="preserve">Tabel </w:t>
      </w:r>
      <w:r w:rsidR="008E12C7">
        <w:rPr>
          <w:lang w:val="id-ID"/>
        </w:rPr>
        <w:t>5</w:t>
      </w:r>
      <w:r>
        <w:t>.</w:t>
      </w:r>
      <w:proofErr w:type="gramEnd"/>
      <w:r>
        <w:t xml:space="preserve"> </w:t>
      </w:r>
      <w:r w:rsidR="00E603B9">
        <w:t xml:space="preserve">Tabel untuk menghitung </w:t>
      </w:r>
      <m:oMath>
        <m:sSub>
          <m:sSubPr>
            <m:ctrlPr>
              <w:rPr>
                <w:rFonts w:ascii="Cambria Math" w:eastAsia="Times New Roman" w:hAnsi="Cambria Math"/>
                <w:i/>
                <w:lang w:val="id-ID"/>
              </w:rPr>
            </m:ctrlPr>
          </m:sSubPr>
          <m:e>
            <m:sSup>
              <m:sSupPr>
                <m:ctrlPr>
                  <w:rPr>
                    <w:rFonts w:ascii="Cambria Math" w:eastAsia="Times New Roman" w:hAnsi="Cambria Math"/>
                    <w:i/>
                    <w:lang w:val="id-ID"/>
                  </w:rPr>
                </m:ctrlPr>
              </m:sSupPr>
              <m:e>
                <m:r>
                  <w:rPr>
                    <w:rFonts w:ascii="Cambria Math" w:eastAsia="Times New Roman" w:hAnsi="Cambria Math"/>
                  </w:rPr>
                  <m:t>χ</m:t>
                </m:r>
              </m:e>
              <m:sup>
                <m:r>
                  <w:rPr>
                    <w:rFonts w:ascii="Cambria Math" w:eastAsia="Times New Roman" w:hAnsi="Cambria Math"/>
                  </w:rPr>
                  <m:t>2</m:t>
                </m:r>
              </m:sup>
            </m:sSup>
          </m:e>
          <m:sub>
            <m:r>
              <w:rPr>
                <w:rFonts w:ascii="Cambria Math" w:eastAsia="Times New Roman" w:hAnsi="Cambria Math"/>
              </w:rPr>
              <m:t>obs</m:t>
            </m:r>
          </m:sub>
        </m:sSub>
      </m:oMath>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442"/>
        <w:gridCol w:w="1469"/>
        <w:gridCol w:w="1485"/>
        <w:gridCol w:w="1460"/>
        <w:gridCol w:w="1470"/>
      </w:tblGrid>
      <w:tr w:rsidR="00E603B9" w:rsidTr="007F3745">
        <w:tc>
          <w:tcPr>
            <w:tcW w:w="1416" w:type="dxa"/>
            <w:tcBorders>
              <w:top w:val="single" w:sz="4" w:space="0" w:color="auto"/>
              <w:bottom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lastRenderedPageBreak/>
              <w:t>Kelompok</w:t>
            </w:r>
          </w:p>
        </w:tc>
        <w:tc>
          <w:tcPr>
            <w:tcW w:w="1442" w:type="dxa"/>
            <w:tcBorders>
              <w:top w:val="single" w:sz="4" w:space="0" w:color="auto"/>
              <w:bottom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f</w:t>
            </w:r>
            <w:r>
              <w:rPr>
                <w:rFonts w:eastAsiaTheme="minorEastAsia"/>
                <w:vertAlign w:val="subscript"/>
              </w:rPr>
              <w:t>j</w:t>
            </w:r>
          </w:p>
        </w:tc>
        <w:tc>
          <w:tcPr>
            <w:tcW w:w="1469" w:type="dxa"/>
            <w:tcBorders>
              <w:top w:val="single" w:sz="4" w:space="0" w:color="auto"/>
              <w:bottom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SS</w:t>
            </w:r>
            <w:r>
              <w:rPr>
                <w:rFonts w:eastAsiaTheme="minorEastAsia"/>
                <w:vertAlign w:val="subscript"/>
              </w:rPr>
              <w:t>j</w:t>
            </w:r>
          </w:p>
        </w:tc>
        <w:tc>
          <w:tcPr>
            <w:tcW w:w="1485" w:type="dxa"/>
            <w:tcBorders>
              <w:top w:val="single" w:sz="4" w:space="0" w:color="auto"/>
              <w:bottom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S</w:t>
            </w:r>
            <w:r>
              <w:rPr>
                <w:rFonts w:eastAsiaTheme="minorEastAsia"/>
                <w:vertAlign w:val="subscript"/>
              </w:rPr>
              <w:t>j</w:t>
            </w:r>
            <w:r>
              <w:rPr>
                <w:rFonts w:eastAsiaTheme="minorEastAsia"/>
                <w:vertAlign w:val="superscript"/>
              </w:rPr>
              <w:t>2</w:t>
            </w:r>
          </w:p>
        </w:tc>
        <w:tc>
          <w:tcPr>
            <w:tcW w:w="1460" w:type="dxa"/>
            <w:tcBorders>
              <w:top w:val="single" w:sz="4" w:space="0" w:color="auto"/>
              <w:bottom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log S</w:t>
            </w:r>
            <w:r>
              <w:rPr>
                <w:rFonts w:eastAsiaTheme="minorEastAsia"/>
                <w:vertAlign w:val="subscript"/>
              </w:rPr>
              <w:t>j</w:t>
            </w:r>
            <w:r>
              <w:rPr>
                <w:rFonts w:eastAsiaTheme="minorEastAsia"/>
                <w:vertAlign w:val="superscript"/>
              </w:rPr>
              <w:t>2</w:t>
            </w:r>
          </w:p>
        </w:tc>
        <w:tc>
          <w:tcPr>
            <w:tcW w:w="1470" w:type="dxa"/>
            <w:tcBorders>
              <w:top w:val="single" w:sz="4" w:space="0" w:color="auto"/>
              <w:bottom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f</w:t>
            </w:r>
            <w:r>
              <w:rPr>
                <w:rFonts w:eastAsiaTheme="minorEastAsia"/>
                <w:vertAlign w:val="subscript"/>
              </w:rPr>
              <w:t xml:space="preserve">j </w:t>
            </w:r>
            <w:r>
              <w:rPr>
                <w:rFonts w:eastAsiaTheme="minorEastAsia"/>
              </w:rPr>
              <w:t>log S</w:t>
            </w:r>
            <w:r>
              <w:rPr>
                <w:rFonts w:eastAsiaTheme="minorEastAsia"/>
                <w:vertAlign w:val="subscript"/>
              </w:rPr>
              <w:t>j</w:t>
            </w:r>
            <w:r>
              <w:rPr>
                <w:rFonts w:eastAsiaTheme="minorEastAsia"/>
                <w:vertAlign w:val="superscript"/>
              </w:rPr>
              <w:t>2</w:t>
            </w:r>
          </w:p>
        </w:tc>
      </w:tr>
      <w:tr w:rsidR="00E603B9" w:rsidTr="007F3745">
        <w:tc>
          <w:tcPr>
            <w:tcW w:w="1416" w:type="dxa"/>
            <w:tcBorders>
              <w:top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Eksperimen</w:t>
            </w:r>
          </w:p>
        </w:tc>
        <w:tc>
          <w:tcPr>
            <w:tcW w:w="1442" w:type="dxa"/>
            <w:tcBorders>
              <w:top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19</w:t>
            </w:r>
          </w:p>
        </w:tc>
        <w:tc>
          <w:tcPr>
            <w:tcW w:w="1469" w:type="dxa"/>
            <w:tcBorders>
              <w:top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imes New Roman"/>
                <w:color w:val="000000"/>
                <w:lang w:eastAsia="id-ID"/>
              </w:rPr>
              <w:t>2180</w:t>
            </w:r>
          </w:p>
        </w:tc>
        <w:tc>
          <w:tcPr>
            <w:tcW w:w="1485" w:type="dxa"/>
            <w:tcBorders>
              <w:top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m:oMathPara>
              <m:oMath>
                <m:r>
                  <w:rPr>
                    <w:rFonts w:ascii="Cambria Math" w:eastAsiaTheme="minorEastAsia" w:hAnsi="Cambria Math"/>
                  </w:rPr>
                  <m:t>114,74</m:t>
                </m:r>
              </m:oMath>
            </m:oMathPara>
          </w:p>
        </w:tc>
        <w:tc>
          <w:tcPr>
            <w:tcW w:w="1460" w:type="dxa"/>
            <w:tcBorders>
              <w:top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2,06</w:t>
            </w:r>
          </w:p>
        </w:tc>
        <w:tc>
          <w:tcPr>
            <w:tcW w:w="1470" w:type="dxa"/>
            <w:tcBorders>
              <w:top w:val="single" w:sz="4" w:space="0" w:color="auto"/>
            </w:tcBorders>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39,14</w:t>
            </w:r>
          </w:p>
        </w:tc>
      </w:tr>
      <w:tr w:rsidR="00E603B9" w:rsidTr="007F3745">
        <w:tc>
          <w:tcPr>
            <w:tcW w:w="1416"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Kontrol</w:t>
            </w:r>
          </w:p>
        </w:tc>
        <w:tc>
          <w:tcPr>
            <w:tcW w:w="1442"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19</w:t>
            </w:r>
          </w:p>
        </w:tc>
        <w:tc>
          <w:tcPr>
            <w:tcW w:w="1469" w:type="dxa"/>
            <w:vAlign w:val="center"/>
            <w:hideMark/>
          </w:tcPr>
          <w:p w:rsidR="00E603B9" w:rsidRDefault="00E603B9" w:rsidP="007B69FD">
            <w:pPr>
              <w:pStyle w:val="ListParagraph"/>
              <w:tabs>
                <w:tab w:val="left" w:pos="6804"/>
              </w:tabs>
              <w:ind w:left="0"/>
              <w:jc w:val="center"/>
              <w:rPr>
                <w:rFonts w:eastAsiaTheme="minorEastAsia"/>
                <w:lang w:val="id-ID"/>
              </w:rPr>
            </w:pPr>
            <m:oMathPara>
              <m:oMath>
                <m:r>
                  <m:rPr>
                    <m:sty m:val="p"/>
                  </m:rPr>
                  <w:rPr>
                    <w:rFonts w:ascii="Cambria Math" w:eastAsia="Times New Roman" w:hAnsi="Cambria Math"/>
                    <w:color w:val="000000"/>
                    <w:lang w:eastAsia="id-ID"/>
                  </w:rPr>
                  <m:t>3855</m:t>
                </m:r>
              </m:oMath>
            </m:oMathPara>
          </w:p>
        </w:tc>
        <w:tc>
          <w:tcPr>
            <w:tcW w:w="1485" w:type="dxa"/>
            <w:vAlign w:val="center"/>
            <w:hideMark/>
          </w:tcPr>
          <w:p w:rsidR="00E603B9" w:rsidRDefault="00E603B9" w:rsidP="007B69FD">
            <w:pPr>
              <w:pStyle w:val="ListParagraph"/>
              <w:tabs>
                <w:tab w:val="left" w:pos="6804"/>
              </w:tabs>
              <w:ind w:left="0"/>
              <w:jc w:val="center"/>
              <w:rPr>
                <w:rFonts w:eastAsiaTheme="minorEastAsia"/>
                <w:lang w:val="id-ID"/>
              </w:rPr>
            </w:pPr>
            <m:oMathPara>
              <m:oMath>
                <m:r>
                  <w:rPr>
                    <w:rFonts w:ascii="Cambria Math" w:eastAsiaTheme="minorEastAsia" w:hAnsi="Cambria Math"/>
                  </w:rPr>
                  <m:t>202,89</m:t>
                </m:r>
              </m:oMath>
            </m:oMathPara>
          </w:p>
        </w:tc>
        <w:tc>
          <w:tcPr>
            <w:tcW w:w="1460"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2,31</w:t>
            </w:r>
          </w:p>
        </w:tc>
        <w:tc>
          <w:tcPr>
            <w:tcW w:w="1470"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43,89</w:t>
            </w:r>
          </w:p>
        </w:tc>
      </w:tr>
      <w:tr w:rsidR="00E603B9" w:rsidTr="007F3745">
        <w:tc>
          <w:tcPr>
            <w:tcW w:w="1416"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Jumlah</w:t>
            </w:r>
          </w:p>
        </w:tc>
        <w:tc>
          <w:tcPr>
            <w:tcW w:w="1442"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38</w:t>
            </w:r>
          </w:p>
        </w:tc>
        <w:tc>
          <w:tcPr>
            <w:tcW w:w="1469"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6035</w:t>
            </w:r>
          </w:p>
        </w:tc>
        <w:tc>
          <w:tcPr>
            <w:tcW w:w="1485" w:type="dxa"/>
            <w:vAlign w:val="center"/>
            <w:hideMark/>
          </w:tcPr>
          <w:p w:rsidR="00E603B9" w:rsidRDefault="00E603B9" w:rsidP="007B69FD">
            <w:pPr>
              <w:pStyle w:val="ListParagraph"/>
              <w:tabs>
                <w:tab w:val="left" w:pos="6804"/>
              </w:tabs>
              <w:ind w:left="0"/>
              <w:jc w:val="center"/>
              <w:rPr>
                <w:rFonts w:eastAsiaTheme="minorEastAsia"/>
                <w:lang w:val="id-ID"/>
              </w:rPr>
            </w:pPr>
          </w:p>
        </w:tc>
        <w:tc>
          <w:tcPr>
            <w:tcW w:w="1460" w:type="dxa"/>
            <w:vAlign w:val="center"/>
            <w:hideMark/>
          </w:tcPr>
          <w:p w:rsidR="00E603B9" w:rsidRDefault="00E603B9" w:rsidP="007B69FD">
            <w:pPr>
              <w:pStyle w:val="ListParagraph"/>
              <w:tabs>
                <w:tab w:val="left" w:pos="6804"/>
              </w:tabs>
              <w:ind w:left="0"/>
              <w:jc w:val="center"/>
              <w:rPr>
                <w:rFonts w:eastAsiaTheme="minorEastAsia"/>
                <w:lang w:val="id-ID"/>
              </w:rPr>
            </w:pPr>
          </w:p>
        </w:tc>
        <w:tc>
          <w:tcPr>
            <w:tcW w:w="1470" w:type="dxa"/>
            <w:vAlign w:val="center"/>
            <w:hideMark/>
          </w:tcPr>
          <w:p w:rsidR="00E603B9" w:rsidRDefault="00E603B9" w:rsidP="007B69FD">
            <w:pPr>
              <w:pStyle w:val="ListParagraph"/>
              <w:tabs>
                <w:tab w:val="left" w:pos="6804"/>
              </w:tabs>
              <w:ind w:left="0"/>
              <w:jc w:val="center"/>
              <w:rPr>
                <w:rFonts w:eastAsiaTheme="minorEastAsia"/>
                <w:lang w:val="id-ID"/>
              </w:rPr>
            </w:pPr>
            <w:r>
              <w:rPr>
                <w:rFonts w:eastAsiaTheme="minorEastAsia"/>
              </w:rPr>
              <w:t>83,03</w:t>
            </w:r>
          </w:p>
        </w:tc>
      </w:tr>
    </w:tbl>
    <w:p w:rsidR="0078234D" w:rsidRDefault="0078234D" w:rsidP="007B69FD">
      <w:pPr>
        <w:ind w:left="-10" w:firstLine="436"/>
        <w:jc w:val="both"/>
        <w:rPr>
          <w:rFonts w:eastAsia="Calibri"/>
          <w:color w:val="000000"/>
          <w:lang w:eastAsia="id-ID"/>
        </w:rPr>
      </w:pPr>
    </w:p>
    <w:p w:rsidR="00E603B9" w:rsidRDefault="00E603B9" w:rsidP="007B69FD">
      <w:pPr>
        <w:ind w:left="-10" w:firstLine="436"/>
        <w:jc w:val="both"/>
        <w:rPr>
          <w:rFonts w:eastAsia="Calibri"/>
          <w:color w:val="000000"/>
          <w:lang w:eastAsia="id-ID"/>
        </w:rPr>
      </w:pPr>
      <w:r>
        <w:rPr>
          <w:rFonts w:eastAsia="Calibri"/>
          <w:color w:val="000000"/>
          <w:lang w:eastAsia="id-ID"/>
        </w:rPr>
        <w:t xml:space="preserve">Berdasarkan </w:t>
      </w:r>
      <w:r w:rsidR="008E12C7">
        <w:rPr>
          <w:rFonts w:eastAsia="Calibri"/>
          <w:color w:val="000000"/>
          <w:lang w:eastAsia="id-ID"/>
        </w:rPr>
        <w:t xml:space="preserve">Tabel </w:t>
      </w:r>
      <w:r w:rsidR="008E12C7">
        <w:rPr>
          <w:rFonts w:eastAsia="Calibri"/>
          <w:color w:val="000000"/>
          <w:lang w:val="id-ID" w:eastAsia="id-ID"/>
        </w:rPr>
        <w:t>5</w:t>
      </w:r>
      <w:r w:rsidR="00E1018D">
        <w:rPr>
          <w:rFonts w:eastAsia="Calibri"/>
          <w:color w:val="000000"/>
          <w:lang w:eastAsia="id-ID"/>
        </w:rPr>
        <w:t xml:space="preserve"> </w:t>
      </w:r>
      <w:r>
        <w:rPr>
          <w:rFonts w:eastAsia="Calibri"/>
          <w:color w:val="000000"/>
          <w:lang w:eastAsia="id-ID"/>
        </w:rPr>
        <w:t>diperoleh nilai F</w:t>
      </w:r>
      <w:r>
        <w:rPr>
          <w:rFonts w:eastAsia="Calibri"/>
          <w:color w:val="000000"/>
          <w:vertAlign w:val="subscript"/>
          <w:lang w:eastAsia="id-ID"/>
        </w:rPr>
        <w:t>obs</w:t>
      </w:r>
      <w:r>
        <w:rPr>
          <w:rFonts w:eastAsia="Calibri"/>
          <w:color w:val="000000"/>
          <w:lang w:eastAsia="id-ID"/>
        </w:rPr>
        <w:t xml:space="preserve"> = </w:t>
      </w:r>
      <m:oMath>
        <m:r>
          <w:rPr>
            <w:rFonts w:ascii="Cambria Math" w:eastAsiaTheme="minorEastAsia" w:hAnsi="Cambria Math"/>
          </w:rPr>
          <m:t>1,370</m:t>
        </m:r>
      </m:oMath>
      <w:r>
        <w:rPr>
          <w:rFonts w:eastAsiaTheme="minorEastAsia"/>
        </w:rPr>
        <w:t xml:space="preserve"> </w:t>
      </w:r>
      <w:r>
        <w:rPr>
          <w:rFonts w:eastAsia="Calibri"/>
          <w:color w:val="000000"/>
          <w:lang w:eastAsia="id-ID"/>
        </w:rPr>
        <w:t>pada taraf signifikansi 5% diperoleh nilai F</w:t>
      </w:r>
      <w:r>
        <w:rPr>
          <w:rFonts w:eastAsia="Calibri"/>
          <w:color w:val="000000"/>
          <w:vertAlign w:val="subscript"/>
          <w:lang w:eastAsia="id-ID"/>
        </w:rPr>
        <w:t>tabel</w:t>
      </w:r>
      <w:r>
        <w:rPr>
          <w:rFonts w:eastAsia="Calibri"/>
          <w:color w:val="000000"/>
          <w:lang w:eastAsia="id-ID"/>
        </w:rPr>
        <w:t xml:space="preserve"> = 3,841. Karena </w:t>
      </w:r>
      <w:r>
        <w:t>F</w:t>
      </w:r>
      <w:r>
        <w:rPr>
          <w:vertAlign w:val="subscript"/>
        </w:rPr>
        <w:t xml:space="preserve">obs </w:t>
      </w:r>
      <w:r>
        <w:t>≤ F</w:t>
      </w:r>
      <w:r>
        <w:rPr>
          <w:vertAlign w:val="subscript"/>
        </w:rPr>
        <w:t>tabel</w:t>
      </w:r>
      <w:r>
        <w:t>, maka dapat disimpulkan bahwa kedua kelompok tersebut memiliki variansi data yang homogen.</w:t>
      </w:r>
    </w:p>
    <w:p w:rsidR="00E603B9" w:rsidRDefault="00E603B9" w:rsidP="007B69FD">
      <w:pPr>
        <w:pStyle w:val="ListParagraph"/>
        <w:tabs>
          <w:tab w:val="left" w:pos="426"/>
          <w:tab w:val="left" w:pos="1418"/>
        </w:tabs>
        <w:ind w:left="0"/>
        <w:jc w:val="both"/>
        <w:rPr>
          <w:rFonts w:eastAsia="Calibri"/>
          <w:color w:val="000000"/>
          <w:lang w:eastAsia="id-ID"/>
        </w:rPr>
      </w:pPr>
      <w:r>
        <w:rPr>
          <w:rFonts w:eastAsia="Calibri"/>
          <w:color w:val="000000"/>
          <w:lang w:eastAsia="id-ID"/>
        </w:rPr>
        <w:t>Hipotesis dalam penelitian ini diuji dengan menggunakan metode analisis varians (ANOVA) satu jalur. Adapun rumusan hipotesisnya yaitu:</w:t>
      </w:r>
    </w:p>
    <w:p w:rsidR="00E603B9" w:rsidRDefault="00E603B9" w:rsidP="007B69FD">
      <w:pPr>
        <w:pStyle w:val="ListParagraph"/>
        <w:tabs>
          <w:tab w:val="left" w:pos="426"/>
          <w:tab w:val="left" w:pos="1418"/>
        </w:tabs>
        <w:ind w:left="0"/>
        <w:jc w:val="both"/>
      </w:pPr>
      <w:r>
        <w:t>H</w:t>
      </w:r>
      <w:r>
        <w:rPr>
          <w:vertAlign w:val="subscript"/>
        </w:rPr>
        <w:t>0</w:t>
      </w:r>
      <w:r>
        <w:tab/>
        <w:t>: Tidak ada perbedaan bermakna rerata pada semua kelompok (</w:t>
      </w:r>
      <m:oMath>
        <m:sSub>
          <m:sSubPr>
            <m:ctrlPr>
              <w:rPr>
                <w:rFonts w:ascii="Cambria Math" w:hAnsi="Cambria Math"/>
                <w:i/>
                <w:lang w:val="id-ID"/>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lang w:val="id-ID"/>
              </w:rPr>
            </m:ctrlPr>
          </m:sSubPr>
          <m:e>
            <m:r>
              <w:rPr>
                <w:rFonts w:ascii="Cambria Math" w:hAnsi="Cambria Math"/>
              </w:rPr>
              <m:t>μ</m:t>
            </m:r>
          </m:e>
          <m:sub>
            <m:r>
              <w:rPr>
                <w:rFonts w:ascii="Cambria Math" w:hAnsi="Cambria Math"/>
              </w:rPr>
              <m:t>2</m:t>
            </m:r>
          </m:sub>
        </m:sSub>
        <m:r>
          <w:rPr>
            <w:rFonts w:ascii="Cambria Math" w:hAnsi="Cambria Math"/>
          </w:rPr>
          <m:t>)</m:t>
        </m:r>
      </m:oMath>
      <w:r>
        <w:t>.</w:t>
      </w:r>
    </w:p>
    <w:p w:rsidR="00E603B9" w:rsidRDefault="00E603B9" w:rsidP="007B69FD">
      <w:pPr>
        <w:pStyle w:val="ListParagraph"/>
        <w:tabs>
          <w:tab w:val="left" w:pos="426"/>
          <w:tab w:val="left" w:pos="1418"/>
        </w:tabs>
        <w:ind w:left="0"/>
        <w:jc w:val="both"/>
      </w:pPr>
      <w:r>
        <w:t>H</w:t>
      </w:r>
      <w:r>
        <w:rPr>
          <w:vertAlign w:val="subscript"/>
        </w:rPr>
        <w:t>1</w:t>
      </w:r>
      <w:r>
        <w:tab/>
        <w:t>: Ada perbedaan bermakna rerata pada semua kelompok (</w:t>
      </w:r>
      <m:oMath>
        <m:sSub>
          <m:sSubPr>
            <m:ctrlPr>
              <w:rPr>
                <w:rFonts w:ascii="Cambria Math" w:hAnsi="Cambria Math"/>
                <w:i/>
                <w:lang w:val="id-ID"/>
              </w:rPr>
            </m:ctrlPr>
          </m:sSubPr>
          <m:e>
            <m:r>
              <w:rPr>
                <w:rFonts w:ascii="Cambria Math" w:hAnsi="Cambria Math"/>
              </w:rPr>
              <m:t>μ</m:t>
            </m:r>
          </m:e>
          <m:sub>
            <m:r>
              <w:rPr>
                <w:rFonts w:ascii="Cambria Math" w:hAnsi="Cambria Math"/>
              </w:rPr>
              <m:t>1</m:t>
            </m:r>
          </m:sub>
        </m:sSub>
        <m:sSub>
          <m:sSubPr>
            <m:ctrlPr>
              <w:rPr>
                <w:rFonts w:ascii="Cambria Math" w:hAnsi="Cambria Math"/>
                <w:i/>
                <w:lang w:val="id-ID"/>
              </w:rPr>
            </m:ctrlPr>
          </m:sSubPr>
          <m:e>
            <m:r>
              <w:rPr>
                <w:rFonts w:ascii="Cambria Math" w:hAnsi="Cambria Math"/>
              </w:rPr>
              <m:t>≠μ</m:t>
            </m:r>
          </m:e>
          <m:sub>
            <m:r>
              <w:rPr>
                <w:rFonts w:ascii="Cambria Math" w:hAnsi="Cambria Math"/>
              </w:rPr>
              <m:t>2</m:t>
            </m:r>
          </m:sub>
        </m:sSub>
        <m:r>
          <w:rPr>
            <w:rFonts w:ascii="Cambria Math" w:hAnsi="Cambria Math"/>
          </w:rPr>
          <m:t>)</m:t>
        </m:r>
      </m:oMath>
      <w:r>
        <w:t>.</w:t>
      </w:r>
    </w:p>
    <w:p w:rsidR="00E603B9" w:rsidRDefault="00E603B9" w:rsidP="007B69FD">
      <w:pPr>
        <w:jc w:val="both"/>
      </w:pPr>
      <w:r>
        <w:t xml:space="preserve">Perhitungan uji hipotesis dengan analisis varians (ANOVA) satu jalur dilakukan peneliti secara manual dan dengan bantuan program </w:t>
      </w:r>
      <w:r>
        <w:rPr>
          <w:i/>
        </w:rPr>
        <w:t>microsoft excel</w:t>
      </w:r>
      <w:r>
        <w:t xml:space="preserve">. Adapun hasil perhitungan uji ANOVA satu Jalur </w:t>
      </w:r>
      <w:r w:rsidR="002D2205">
        <w:t>seperti</w:t>
      </w:r>
      <w:r>
        <w:t xml:space="preserve"> pada Tabel </w:t>
      </w:r>
      <w:r>
        <w:rPr>
          <w:lang w:val="en-US"/>
        </w:rPr>
        <w:t>5 berikut</w:t>
      </w:r>
      <w:r>
        <w:t>.</w:t>
      </w:r>
    </w:p>
    <w:p w:rsidR="009E0850" w:rsidRDefault="009E0850" w:rsidP="007B69FD">
      <w:pPr>
        <w:tabs>
          <w:tab w:val="left" w:pos="1134"/>
          <w:tab w:val="left" w:pos="2835"/>
        </w:tabs>
        <w:jc w:val="both"/>
      </w:pPr>
    </w:p>
    <w:p w:rsidR="00E603B9" w:rsidRPr="009E0850" w:rsidRDefault="008E12C7" w:rsidP="007B69FD">
      <w:pPr>
        <w:tabs>
          <w:tab w:val="left" w:pos="1134"/>
          <w:tab w:val="left" w:pos="2835"/>
        </w:tabs>
        <w:jc w:val="both"/>
      </w:pPr>
      <w:proofErr w:type="gramStart"/>
      <w:r>
        <w:t xml:space="preserve">Tabel </w:t>
      </w:r>
      <w:r>
        <w:rPr>
          <w:lang w:val="id-ID"/>
        </w:rPr>
        <w:t>6</w:t>
      </w:r>
      <w:r w:rsidR="009E0850">
        <w:t>.</w:t>
      </w:r>
      <w:proofErr w:type="gramEnd"/>
      <w:r w:rsidR="009E0850">
        <w:t xml:space="preserve"> </w:t>
      </w:r>
      <w:r w:rsidR="00E603B9">
        <w:t>Rangkuman Analisis Variansi Satu Jalur</w:t>
      </w:r>
    </w:p>
    <w:tbl>
      <w:tblPr>
        <w:tblStyle w:val="TableGrid"/>
        <w:tblW w:w="9214" w:type="dxa"/>
        <w:tblInd w:w="108" w:type="dxa"/>
        <w:tblBorders>
          <w:insideH w:val="none" w:sz="0" w:space="0" w:color="auto"/>
          <w:insideV w:val="none" w:sz="0" w:space="0" w:color="auto"/>
        </w:tblBorders>
        <w:tblLook w:val="04A0" w:firstRow="1" w:lastRow="0" w:firstColumn="1" w:lastColumn="0" w:noHBand="0" w:noVBand="1"/>
      </w:tblPr>
      <w:tblGrid>
        <w:gridCol w:w="2127"/>
        <w:gridCol w:w="1308"/>
        <w:gridCol w:w="1527"/>
        <w:gridCol w:w="2126"/>
        <w:gridCol w:w="2126"/>
      </w:tblGrid>
      <w:tr w:rsidR="00E603B9" w:rsidTr="007F3745">
        <w:trPr>
          <w:trHeight w:val="678"/>
        </w:trPr>
        <w:tc>
          <w:tcPr>
            <w:tcW w:w="2127" w:type="dxa"/>
            <w:tcBorders>
              <w:top w:val="single" w:sz="4" w:space="0" w:color="auto"/>
              <w:left w:val="nil"/>
              <w:bottom w:val="single" w:sz="4" w:space="0" w:color="auto"/>
            </w:tcBorders>
            <w:vAlign w:val="center"/>
            <w:hideMark/>
          </w:tcPr>
          <w:p w:rsidR="00E603B9" w:rsidRDefault="00E603B9" w:rsidP="007B69FD">
            <w:pPr>
              <w:tabs>
                <w:tab w:val="left" w:pos="1134"/>
                <w:tab w:val="left" w:pos="2835"/>
              </w:tabs>
              <w:jc w:val="center"/>
              <w:rPr>
                <w:lang w:val="id-ID"/>
              </w:rPr>
            </w:pPr>
            <w:r>
              <w:t>Sumber Keragaman</w:t>
            </w:r>
          </w:p>
        </w:tc>
        <w:tc>
          <w:tcPr>
            <w:tcW w:w="1308" w:type="dxa"/>
            <w:tcBorders>
              <w:top w:val="single" w:sz="4" w:space="0" w:color="auto"/>
              <w:bottom w:val="single" w:sz="4" w:space="0" w:color="auto"/>
            </w:tcBorders>
            <w:vAlign w:val="center"/>
            <w:hideMark/>
          </w:tcPr>
          <w:p w:rsidR="00E603B9" w:rsidRDefault="00E603B9" w:rsidP="007B69FD">
            <w:pPr>
              <w:tabs>
                <w:tab w:val="left" w:pos="1134"/>
                <w:tab w:val="left" w:pos="2835"/>
              </w:tabs>
              <w:jc w:val="center"/>
              <w:rPr>
                <w:lang w:val="id-ID"/>
              </w:rPr>
            </w:pPr>
            <w:r>
              <w:t>Jumlah Kuadrat</w:t>
            </w:r>
          </w:p>
        </w:tc>
        <w:tc>
          <w:tcPr>
            <w:tcW w:w="1527" w:type="dxa"/>
            <w:tcBorders>
              <w:top w:val="single" w:sz="4" w:space="0" w:color="auto"/>
              <w:bottom w:val="single" w:sz="4" w:space="0" w:color="auto"/>
            </w:tcBorders>
            <w:vAlign w:val="center"/>
            <w:hideMark/>
          </w:tcPr>
          <w:p w:rsidR="00E603B9" w:rsidRDefault="00E603B9" w:rsidP="007B69FD">
            <w:pPr>
              <w:tabs>
                <w:tab w:val="left" w:pos="1134"/>
                <w:tab w:val="left" w:pos="2835"/>
              </w:tabs>
              <w:jc w:val="center"/>
              <w:rPr>
                <w:lang w:val="id-ID"/>
              </w:rPr>
            </w:pPr>
            <w:r>
              <w:t>Derajat Bebas</w:t>
            </w:r>
          </w:p>
        </w:tc>
        <w:tc>
          <w:tcPr>
            <w:tcW w:w="2126" w:type="dxa"/>
            <w:tcBorders>
              <w:top w:val="single" w:sz="4" w:space="0" w:color="auto"/>
              <w:bottom w:val="single" w:sz="4" w:space="0" w:color="auto"/>
            </w:tcBorders>
            <w:vAlign w:val="center"/>
            <w:hideMark/>
          </w:tcPr>
          <w:p w:rsidR="00E603B9" w:rsidRDefault="00E968EF" w:rsidP="007B69FD">
            <w:pPr>
              <w:tabs>
                <w:tab w:val="left" w:pos="1134"/>
                <w:tab w:val="left" w:pos="2835"/>
              </w:tabs>
              <w:jc w:val="center"/>
              <w:rPr>
                <w:lang w:val="id-ID"/>
              </w:rPr>
            </w:pPr>
            <m:oMath>
              <m:sSup>
                <m:sSupPr>
                  <m:ctrlPr>
                    <w:rPr>
                      <w:rFonts w:ascii="Cambria Math" w:hAnsi="Cambria Math"/>
                      <w:i/>
                      <w:lang w:val="id-ID"/>
                    </w:rPr>
                  </m:ctrlPr>
                </m:sSupPr>
                <m:e>
                  <m:r>
                    <w:rPr>
                      <w:rFonts w:ascii="Cambria Math" w:hAnsi="Cambria Math"/>
                    </w:rPr>
                    <m:t>σ</m:t>
                  </m:r>
                </m:e>
                <m:sup>
                  <m:r>
                    <w:rPr>
                      <w:rFonts w:ascii="Cambria Math" w:hAnsi="Cambria Math"/>
                    </w:rPr>
                    <m:t>2</m:t>
                  </m:r>
                </m:sup>
              </m:sSup>
            </m:oMath>
            <w:r w:rsidR="00E603B9">
              <w:rPr>
                <w:rFonts w:eastAsiaTheme="minorEastAsia"/>
              </w:rPr>
              <w:t>estimasi</w:t>
            </w:r>
          </w:p>
        </w:tc>
        <w:tc>
          <w:tcPr>
            <w:tcW w:w="2126" w:type="dxa"/>
            <w:tcBorders>
              <w:top w:val="single" w:sz="4" w:space="0" w:color="auto"/>
              <w:bottom w:val="single" w:sz="4" w:space="0" w:color="auto"/>
              <w:right w:val="nil"/>
            </w:tcBorders>
            <w:vAlign w:val="center"/>
            <w:hideMark/>
          </w:tcPr>
          <w:p w:rsidR="00E603B9" w:rsidRDefault="00E603B9" w:rsidP="007B69FD">
            <w:pPr>
              <w:tabs>
                <w:tab w:val="left" w:pos="1134"/>
                <w:tab w:val="left" w:pos="2835"/>
              </w:tabs>
              <w:jc w:val="center"/>
              <w:rPr>
                <w:lang w:val="id-ID"/>
              </w:rPr>
            </w:pPr>
            <w:r>
              <w:t>Rasio F</w:t>
            </w:r>
          </w:p>
        </w:tc>
      </w:tr>
      <w:tr w:rsidR="00E603B9" w:rsidTr="007F3745">
        <w:tc>
          <w:tcPr>
            <w:tcW w:w="2127" w:type="dxa"/>
            <w:tcBorders>
              <w:top w:val="single" w:sz="4" w:space="0" w:color="auto"/>
              <w:left w:val="nil"/>
            </w:tcBorders>
            <w:vAlign w:val="center"/>
            <w:hideMark/>
          </w:tcPr>
          <w:p w:rsidR="00E603B9" w:rsidRDefault="00E603B9" w:rsidP="007B69FD">
            <w:pPr>
              <w:tabs>
                <w:tab w:val="left" w:pos="1134"/>
                <w:tab w:val="left" w:pos="2835"/>
              </w:tabs>
              <w:jc w:val="center"/>
              <w:rPr>
                <w:lang w:val="id-ID"/>
              </w:rPr>
            </w:pPr>
            <w:r>
              <w:t>Antar-kelompok (between group)</w:t>
            </w:r>
          </w:p>
        </w:tc>
        <w:tc>
          <w:tcPr>
            <w:tcW w:w="1308" w:type="dxa"/>
            <w:tcBorders>
              <w:top w:val="single" w:sz="4" w:space="0" w:color="auto"/>
            </w:tcBorders>
            <w:vAlign w:val="center"/>
            <w:hideMark/>
          </w:tcPr>
          <w:p w:rsidR="00E603B9" w:rsidRDefault="00E603B9" w:rsidP="007B69FD">
            <w:pPr>
              <w:tabs>
                <w:tab w:val="left" w:pos="1134"/>
                <w:tab w:val="left" w:pos="2835"/>
              </w:tabs>
              <w:jc w:val="center"/>
              <w:rPr>
                <w:lang w:val="id-ID"/>
              </w:rPr>
            </w:pPr>
            <m:oMathPara>
              <m:oMath>
                <m:r>
                  <m:rPr>
                    <m:sty m:val="p"/>
                  </m:rPr>
                  <w:rPr>
                    <w:rFonts w:ascii="Cambria Math" w:eastAsia="Times New Roman" w:hAnsi="Cambria Math"/>
                    <w:color w:val="000000"/>
                    <w:lang w:eastAsia="id-ID"/>
                  </w:rPr>
                  <m:t>3062,5</m:t>
                </m:r>
              </m:oMath>
            </m:oMathPara>
          </w:p>
        </w:tc>
        <w:tc>
          <w:tcPr>
            <w:tcW w:w="1527" w:type="dxa"/>
            <w:tcBorders>
              <w:top w:val="single" w:sz="4" w:space="0" w:color="auto"/>
            </w:tcBorders>
            <w:vAlign w:val="center"/>
            <w:hideMark/>
          </w:tcPr>
          <w:p w:rsidR="00E603B9" w:rsidRDefault="00E603B9" w:rsidP="007B69FD">
            <w:pPr>
              <w:tabs>
                <w:tab w:val="left" w:pos="1134"/>
                <w:tab w:val="left" w:pos="2835"/>
              </w:tabs>
              <w:jc w:val="center"/>
              <w:rPr>
                <w:lang w:val="id-ID"/>
              </w:rPr>
            </w:pPr>
            <w:r>
              <w:t>2– 1=1</w:t>
            </w:r>
          </w:p>
        </w:tc>
        <w:tc>
          <w:tcPr>
            <w:tcW w:w="2126" w:type="dxa"/>
            <w:tcBorders>
              <w:top w:val="single" w:sz="4" w:space="0" w:color="auto"/>
            </w:tcBorders>
            <w:vAlign w:val="center"/>
            <w:hideMark/>
          </w:tcPr>
          <w:p w:rsidR="00E603B9" w:rsidRDefault="00E968EF" w:rsidP="007B69FD">
            <w:pPr>
              <w:tabs>
                <w:tab w:val="left" w:pos="1134"/>
                <w:tab w:val="left" w:pos="2835"/>
              </w:tabs>
              <w:jc w:val="center"/>
              <w:rPr>
                <w:lang w:val="id-ID"/>
              </w:rPr>
            </w:pPr>
            <m:oMathPara>
              <m:oMath>
                <m:f>
                  <m:fPr>
                    <m:ctrlPr>
                      <w:rPr>
                        <w:rFonts w:ascii="Cambria Math" w:eastAsiaTheme="minorEastAsia" w:hAnsi="Cambria Math"/>
                        <w:i/>
                        <w:lang w:val="id-ID"/>
                      </w:rPr>
                    </m:ctrlPr>
                  </m:fPr>
                  <m:num>
                    <m:r>
                      <m:rPr>
                        <m:sty m:val="p"/>
                      </m:rPr>
                      <w:rPr>
                        <w:rFonts w:ascii="Cambria Math" w:eastAsia="Times New Roman" w:hAnsi="Cambria Math"/>
                        <w:color w:val="000000"/>
                        <w:lang w:eastAsia="id-ID"/>
                      </w:rPr>
                      <m:t>3062,5</m:t>
                    </m:r>
                  </m:num>
                  <m:den>
                    <m:r>
                      <m:rPr>
                        <m:sty m:val="p"/>
                      </m:rPr>
                      <w:rPr>
                        <w:rFonts w:ascii="Cambria Math" w:hAnsi="Cambria Math"/>
                      </w:rPr>
                      <m:t>1</m:t>
                    </m:r>
                  </m:den>
                </m:f>
                <m:r>
                  <w:rPr>
                    <w:rFonts w:ascii="Cambria Math" w:eastAsiaTheme="minorEastAsia" w:hAnsi="Cambria Math"/>
                  </w:rPr>
                  <m:t>=</m:t>
                </m:r>
                <m:r>
                  <m:rPr>
                    <m:sty m:val="p"/>
                  </m:rPr>
                  <w:rPr>
                    <w:rFonts w:ascii="Cambria Math" w:eastAsia="Times New Roman" w:hAnsi="Cambria Math"/>
                    <w:color w:val="000000"/>
                    <w:lang w:eastAsia="id-ID"/>
                  </w:rPr>
                  <m:t>3062,5</m:t>
                </m:r>
              </m:oMath>
            </m:oMathPara>
          </w:p>
        </w:tc>
        <w:tc>
          <w:tcPr>
            <w:tcW w:w="2126" w:type="dxa"/>
            <w:tcBorders>
              <w:top w:val="single" w:sz="4" w:space="0" w:color="auto"/>
              <w:right w:val="nil"/>
            </w:tcBorders>
            <w:vAlign w:val="center"/>
            <w:hideMark/>
          </w:tcPr>
          <w:p w:rsidR="00E603B9" w:rsidRDefault="00E968EF" w:rsidP="007B69FD">
            <w:pPr>
              <w:tabs>
                <w:tab w:val="left" w:pos="1134"/>
                <w:tab w:val="left" w:pos="2835"/>
              </w:tabs>
              <w:jc w:val="center"/>
              <w:rPr>
                <w:lang w:val="id-ID"/>
              </w:rPr>
            </w:pPr>
            <m:oMathPara>
              <m:oMath>
                <m:f>
                  <m:fPr>
                    <m:ctrlPr>
                      <w:rPr>
                        <w:rFonts w:ascii="Cambria Math" w:hAnsi="Cambria Math"/>
                        <w:i/>
                        <w:lang w:val="id-ID"/>
                      </w:rPr>
                    </m:ctrlPr>
                  </m:fPr>
                  <m:num>
                    <m:r>
                      <m:rPr>
                        <m:sty m:val="p"/>
                      </m:rPr>
                      <w:rPr>
                        <w:rFonts w:ascii="Cambria Math" w:eastAsia="Times New Roman" w:hAnsi="Cambria Math"/>
                        <w:color w:val="000000"/>
                        <w:lang w:eastAsia="id-ID"/>
                      </w:rPr>
                      <m:t>3062,5</m:t>
                    </m:r>
                  </m:num>
                  <m:den>
                    <m:r>
                      <w:rPr>
                        <w:rFonts w:ascii="Cambria Math" w:eastAsiaTheme="minorEastAsia" w:hAnsi="Cambria Math"/>
                      </w:rPr>
                      <m:t>158,82</m:t>
                    </m:r>
                  </m:den>
                </m:f>
                <m:r>
                  <w:rPr>
                    <w:rFonts w:ascii="Cambria Math" w:hAnsi="Cambria Math"/>
                  </w:rPr>
                  <m:t>=19,283</m:t>
                </m:r>
              </m:oMath>
            </m:oMathPara>
          </w:p>
        </w:tc>
      </w:tr>
      <w:tr w:rsidR="00E603B9" w:rsidTr="007F3745">
        <w:tc>
          <w:tcPr>
            <w:tcW w:w="2127" w:type="dxa"/>
            <w:tcBorders>
              <w:left w:val="nil"/>
            </w:tcBorders>
            <w:vAlign w:val="center"/>
            <w:hideMark/>
          </w:tcPr>
          <w:p w:rsidR="00E603B9" w:rsidRDefault="00E603B9" w:rsidP="007B69FD">
            <w:pPr>
              <w:tabs>
                <w:tab w:val="left" w:pos="1134"/>
                <w:tab w:val="left" w:pos="2835"/>
              </w:tabs>
              <w:jc w:val="center"/>
              <w:rPr>
                <w:lang w:val="id-ID"/>
              </w:rPr>
            </w:pPr>
            <w:r>
              <w:t>Dalam-kelompok (within group)</w:t>
            </w:r>
          </w:p>
        </w:tc>
        <w:tc>
          <w:tcPr>
            <w:tcW w:w="1308" w:type="dxa"/>
            <w:vAlign w:val="center"/>
            <w:hideMark/>
          </w:tcPr>
          <w:p w:rsidR="00E603B9" w:rsidRDefault="00E603B9" w:rsidP="007B69FD">
            <w:pPr>
              <w:tabs>
                <w:tab w:val="left" w:pos="1134"/>
                <w:tab w:val="left" w:pos="2835"/>
              </w:tabs>
              <w:jc w:val="center"/>
              <w:rPr>
                <w:lang w:val="id-ID"/>
              </w:rPr>
            </w:pPr>
            <m:oMathPara>
              <m:oMath>
                <m:r>
                  <w:rPr>
                    <w:rFonts w:ascii="Cambria Math" w:eastAsiaTheme="minorEastAsia" w:hAnsi="Cambria Math"/>
                  </w:rPr>
                  <m:t>6035</m:t>
                </m:r>
              </m:oMath>
            </m:oMathPara>
          </w:p>
        </w:tc>
        <w:tc>
          <w:tcPr>
            <w:tcW w:w="1527" w:type="dxa"/>
            <w:vAlign w:val="center"/>
            <w:hideMark/>
          </w:tcPr>
          <w:p w:rsidR="00E603B9" w:rsidRDefault="00E603B9" w:rsidP="007B69FD">
            <w:pPr>
              <w:tabs>
                <w:tab w:val="left" w:pos="1134"/>
                <w:tab w:val="left" w:pos="2835"/>
              </w:tabs>
              <w:jc w:val="center"/>
              <w:rPr>
                <w:lang w:val="id-ID"/>
              </w:rPr>
            </w:pPr>
            <w:r>
              <w:t>2(20 – 1)=38</w:t>
            </w:r>
          </w:p>
        </w:tc>
        <w:tc>
          <w:tcPr>
            <w:tcW w:w="2126" w:type="dxa"/>
            <w:vAlign w:val="center"/>
            <w:hideMark/>
          </w:tcPr>
          <w:p w:rsidR="00E603B9" w:rsidRDefault="00E968EF" w:rsidP="007B69FD">
            <w:pPr>
              <w:tabs>
                <w:tab w:val="left" w:pos="1134"/>
                <w:tab w:val="left" w:pos="2835"/>
              </w:tabs>
              <w:jc w:val="center"/>
              <w:rPr>
                <w:lang w:val="id-ID"/>
              </w:rPr>
            </w:pPr>
            <m:oMathPara>
              <m:oMath>
                <m:f>
                  <m:fPr>
                    <m:ctrlPr>
                      <w:rPr>
                        <w:rFonts w:ascii="Cambria Math" w:eastAsiaTheme="minorEastAsia" w:hAnsi="Cambria Math"/>
                        <w:i/>
                        <w:lang w:val="id-ID"/>
                      </w:rPr>
                    </m:ctrlPr>
                  </m:fPr>
                  <m:num>
                    <m:r>
                      <m:rPr>
                        <m:sty m:val="p"/>
                      </m:rPr>
                      <w:rPr>
                        <w:rFonts w:ascii="Cambria Math" w:eastAsiaTheme="minorEastAsia" w:hAnsi="Cambria Math"/>
                      </w:rPr>
                      <m:t>8176</m:t>
                    </m:r>
                  </m:num>
                  <m:den>
                    <m:r>
                      <m:rPr>
                        <m:sty m:val="p"/>
                      </m:rPr>
                      <w:rPr>
                        <w:rFonts w:ascii="Cambria Math" w:hAnsi="Cambria Math"/>
                      </w:rPr>
                      <m:t>38</m:t>
                    </m:r>
                  </m:den>
                </m:f>
                <m:r>
                  <w:rPr>
                    <w:rFonts w:ascii="Cambria Math" w:eastAsiaTheme="minorEastAsia" w:hAnsi="Cambria Math"/>
                  </w:rPr>
                  <m:t>=158,82</m:t>
                </m:r>
              </m:oMath>
            </m:oMathPara>
          </w:p>
        </w:tc>
        <w:tc>
          <w:tcPr>
            <w:tcW w:w="2126" w:type="dxa"/>
            <w:tcBorders>
              <w:right w:val="nil"/>
            </w:tcBorders>
            <w:vAlign w:val="center"/>
            <w:hideMark/>
          </w:tcPr>
          <w:p w:rsidR="00E603B9" w:rsidRDefault="00E603B9" w:rsidP="007B69FD">
            <w:pPr>
              <w:tabs>
                <w:tab w:val="left" w:pos="1134"/>
                <w:tab w:val="left" w:pos="2835"/>
              </w:tabs>
              <w:jc w:val="center"/>
              <w:rPr>
                <w:lang w:val="id-ID"/>
              </w:rPr>
            </w:pPr>
            <w:r>
              <w:t>-</w:t>
            </w:r>
          </w:p>
        </w:tc>
      </w:tr>
      <w:tr w:rsidR="00E603B9" w:rsidTr="007F3745">
        <w:tc>
          <w:tcPr>
            <w:tcW w:w="2127" w:type="dxa"/>
            <w:tcBorders>
              <w:left w:val="nil"/>
              <w:bottom w:val="single" w:sz="4" w:space="0" w:color="auto"/>
            </w:tcBorders>
            <w:vAlign w:val="center"/>
            <w:hideMark/>
          </w:tcPr>
          <w:p w:rsidR="00E603B9" w:rsidRDefault="00E603B9" w:rsidP="007B69FD">
            <w:pPr>
              <w:tabs>
                <w:tab w:val="left" w:pos="1134"/>
                <w:tab w:val="left" w:pos="2835"/>
              </w:tabs>
              <w:jc w:val="center"/>
              <w:rPr>
                <w:lang w:val="id-ID"/>
              </w:rPr>
            </w:pPr>
            <w:r>
              <w:t>Jumlah</w:t>
            </w:r>
          </w:p>
        </w:tc>
        <w:tc>
          <w:tcPr>
            <w:tcW w:w="1308" w:type="dxa"/>
            <w:tcBorders>
              <w:bottom w:val="single" w:sz="4" w:space="0" w:color="auto"/>
            </w:tcBorders>
            <w:vAlign w:val="center"/>
            <w:hideMark/>
          </w:tcPr>
          <w:p w:rsidR="00E603B9" w:rsidRDefault="00E603B9" w:rsidP="007B69FD">
            <w:pPr>
              <w:tabs>
                <w:tab w:val="left" w:pos="1134"/>
                <w:tab w:val="left" w:pos="2835"/>
              </w:tabs>
              <w:jc w:val="center"/>
              <w:rPr>
                <w:lang w:val="id-ID"/>
              </w:rPr>
            </w:pPr>
            <m:oMathPara>
              <m:oMath>
                <m:r>
                  <w:rPr>
                    <w:rFonts w:ascii="Cambria Math" w:hAnsi="Cambria Math"/>
                  </w:rPr>
                  <m:t>9097,5</m:t>
                </m:r>
              </m:oMath>
            </m:oMathPara>
          </w:p>
        </w:tc>
        <w:tc>
          <w:tcPr>
            <w:tcW w:w="1527" w:type="dxa"/>
            <w:tcBorders>
              <w:bottom w:val="single" w:sz="4" w:space="0" w:color="auto"/>
            </w:tcBorders>
            <w:vAlign w:val="center"/>
            <w:hideMark/>
          </w:tcPr>
          <w:p w:rsidR="00E603B9" w:rsidRDefault="00E603B9" w:rsidP="007B69FD">
            <w:pPr>
              <w:tabs>
                <w:tab w:val="left" w:pos="1134"/>
                <w:tab w:val="left" w:pos="2835"/>
              </w:tabs>
              <w:jc w:val="center"/>
              <w:rPr>
                <w:lang w:val="id-ID"/>
              </w:rPr>
            </w:pPr>
            <w:r>
              <w:t>39</w:t>
            </w:r>
          </w:p>
        </w:tc>
        <w:tc>
          <w:tcPr>
            <w:tcW w:w="2126" w:type="dxa"/>
            <w:tcBorders>
              <w:bottom w:val="single" w:sz="4" w:space="0" w:color="auto"/>
            </w:tcBorders>
            <w:vAlign w:val="center"/>
            <w:hideMark/>
          </w:tcPr>
          <w:p w:rsidR="00E603B9" w:rsidRDefault="00E603B9" w:rsidP="007B69FD">
            <w:pPr>
              <w:tabs>
                <w:tab w:val="left" w:pos="1134"/>
                <w:tab w:val="left" w:pos="2835"/>
              </w:tabs>
              <w:jc w:val="center"/>
              <w:rPr>
                <w:lang w:val="id-ID"/>
              </w:rPr>
            </w:pPr>
            <w:r>
              <w:t>-</w:t>
            </w:r>
          </w:p>
        </w:tc>
        <w:tc>
          <w:tcPr>
            <w:tcW w:w="2126" w:type="dxa"/>
            <w:tcBorders>
              <w:bottom w:val="single" w:sz="4" w:space="0" w:color="auto"/>
              <w:right w:val="nil"/>
            </w:tcBorders>
            <w:vAlign w:val="center"/>
            <w:hideMark/>
          </w:tcPr>
          <w:p w:rsidR="00E603B9" w:rsidRDefault="00E603B9" w:rsidP="007B69FD">
            <w:pPr>
              <w:tabs>
                <w:tab w:val="left" w:pos="1134"/>
                <w:tab w:val="left" w:pos="2835"/>
              </w:tabs>
              <w:jc w:val="center"/>
              <w:rPr>
                <w:lang w:val="id-ID"/>
              </w:rPr>
            </w:pPr>
            <w:r>
              <w:t>-</w:t>
            </w:r>
          </w:p>
        </w:tc>
      </w:tr>
    </w:tbl>
    <w:p w:rsidR="0078234D" w:rsidRDefault="0078234D" w:rsidP="007B69FD">
      <w:pPr>
        <w:ind w:firstLine="709"/>
        <w:jc w:val="both"/>
        <w:rPr>
          <w:rFonts w:eastAsia="Calibri"/>
          <w:color w:val="000000"/>
          <w:lang w:eastAsia="id-ID"/>
        </w:rPr>
      </w:pPr>
    </w:p>
    <w:p w:rsidR="00E603B9" w:rsidRDefault="00E603B9" w:rsidP="007B69FD">
      <w:pPr>
        <w:ind w:firstLine="426"/>
        <w:jc w:val="both"/>
      </w:pPr>
      <w:r>
        <w:rPr>
          <w:rFonts w:eastAsia="Calibri"/>
          <w:color w:val="000000"/>
          <w:lang w:eastAsia="id-ID"/>
        </w:rPr>
        <w:t xml:space="preserve">Berdasarkan pada </w:t>
      </w:r>
      <w:r w:rsidR="008E12C7">
        <w:rPr>
          <w:rFonts w:eastAsia="Calibri"/>
          <w:color w:val="000000"/>
          <w:lang w:eastAsia="id-ID"/>
        </w:rPr>
        <w:t xml:space="preserve">Tabel </w:t>
      </w:r>
      <w:r w:rsidR="008E12C7">
        <w:rPr>
          <w:rFonts w:eastAsia="Calibri"/>
          <w:color w:val="000000"/>
          <w:lang w:val="id-ID" w:eastAsia="id-ID"/>
        </w:rPr>
        <w:t>6</w:t>
      </w:r>
      <w:r w:rsidR="002D2205">
        <w:rPr>
          <w:rFonts w:eastAsia="Calibri"/>
          <w:color w:val="000000"/>
          <w:lang w:eastAsia="id-ID"/>
        </w:rPr>
        <w:t xml:space="preserve"> </w:t>
      </w:r>
      <w:r>
        <w:rPr>
          <w:rFonts w:eastAsia="Calibri"/>
          <w:color w:val="000000"/>
          <w:lang w:eastAsia="id-ID"/>
        </w:rPr>
        <w:t>diperoleh nilai F</w:t>
      </w:r>
      <w:r>
        <w:rPr>
          <w:rFonts w:eastAsia="Calibri"/>
          <w:color w:val="000000"/>
          <w:vertAlign w:val="subscript"/>
          <w:lang w:eastAsia="id-ID"/>
        </w:rPr>
        <w:t>hitung</w:t>
      </w:r>
      <w:r>
        <w:rPr>
          <w:rFonts w:eastAsia="Calibri"/>
          <w:color w:val="000000"/>
          <w:lang w:eastAsia="id-ID"/>
        </w:rPr>
        <w:t xml:space="preserve"> =</w:t>
      </w:r>
      <m:oMath>
        <m:r>
          <w:rPr>
            <w:rFonts w:ascii="Cambria Math" w:hAnsi="Cambria Math"/>
          </w:rPr>
          <m:t>19,283</m:t>
        </m:r>
      </m:oMath>
      <w:r>
        <w:rPr>
          <w:rFonts w:eastAsia="Calibri"/>
          <w:color w:val="000000"/>
          <w:lang w:eastAsia="id-ID"/>
        </w:rPr>
        <w:t xml:space="preserve">, sedangkan </w:t>
      </w:r>
      <w:r>
        <w:t>pada derajat bebas numerator 1 dan derajat bebas denominator 38 dengan taraf signifikansi (</w:t>
      </w:r>
      <m:oMath>
        <m:r>
          <w:rPr>
            <w:rFonts w:ascii="Cambria Math" w:hAnsi="Cambria Math"/>
          </w:rPr>
          <m:t>α</m:t>
        </m:r>
      </m:oMath>
      <w:r>
        <w:t>) 0</w:t>
      </w:r>
      <w:proofErr w:type="gramStart"/>
      <w:r>
        <w:t>,05</w:t>
      </w:r>
      <w:proofErr w:type="gramEnd"/>
      <w:r>
        <w:t xml:space="preserve"> (5%) diperoleh nilai F</w:t>
      </w:r>
      <w:r>
        <w:rPr>
          <w:vertAlign w:val="subscript"/>
        </w:rPr>
        <w:t>tabel</w:t>
      </w:r>
      <w:r>
        <w:t xml:space="preserve"> = 4,10. Karena terbukti bahwa (</w:t>
      </w:r>
      <m:oMath>
        <m:r>
          <w:rPr>
            <w:rFonts w:ascii="Cambria Math" w:hAnsi="Cambria Math"/>
          </w:rPr>
          <m:t>19,283</m:t>
        </m:r>
      </m:oMath>
      <w:r>
        <w:t xml:space="preserve"> &gt; 4,10 atau F</w:t>
      </w:r>
      <w:r>
        <w:rPr>
          <w:vertAlign w:val="subscript"/>
        </w:rPr>
        <w:t>hitung</w:t>
      </w:r>
      <w:r>
        <w:t xml:space="preserve"> &gt; F</w:t>
      </w:r>
      <w:r>
        <w:rPr>
          <w:vertAlign w:val="subscript"/>
        </w:rPr>
        <w:t>tabel</w:t>
      </w:r>
      <w:r>
        <w:t>)</w:t>
      </w:r>
      <w:r>
        <w:rPr>
          <w:rFonts w:eastAsia="Calibri"/>
          <w:color w:val="000000"/>
          <w:lang w:eastAsia="id-ID"/>
        </w:rPr>
        <w:t xml:space="preserve"> maka terdapat cukup bukti untuk menolak H</w:t>
      </w:r>
      <w:r>
        <w:rPr>
          <w:rFonts w:eastAsia="Calibri"/>
          <w:color w:val="000000"/>
          <w:vertAlign w:val="subscript"/>
          <w:lang w:eastAsia="id-ID"/>
        </w:rPr>
        <w:t>0</w:t>
      </w:r>
      <w:r>
        <w:rPr>
          <w:rFonts w:eastAsia="Calibri"/>
          <w:color w:val="000000"/>
          <w:lang w:eastAsia="id-ID"/>
        </w:rPr>
        <w:t xml:space="preserve"> dan menerima H</w:t>
      </w:r>
      <w:r>
        <w:rPr>
          <w:rFonts w:eastAsia="Calibri"/>
          <w:color w:val="000000"/>
          <w:vertAlign w:val="subscript"/>
          <w:lang w:eastAsia="id-ID"/>
        </w:rPr>
        <w:t>1</w:t>
      </w:r>
      <w:r w:rsidR="00E1018D">
        <w:rPr>
          <w:rFonts w:eastAsia="Calibri"/>
          <w:color w:val="000000"/>
          <w:lang w:eastAsia="id-ID"/>
        </w:rPr>
        <w:t>,</w:t>
      </w:r>
      <w:r>
        <w:rPr>
          <w:rFonts w:eastAsia="Calibri"/>
          <w:color w:val="000000"/>
          <w:lang w:eastAsia="id-ID"/>
        </w:rPr>
        <w:t xml:space="preserve"> </w:t>
      </w:r>
      <w:r w:rsidR="00E1018D">
        <w:rPr>
          <w:rFonts w:eastAsia="Calibri"/>
          <w:color w:val="000000"/>
          <w:lang w:eastAsia="id-ID"/>
        </w:rPr>
        <w:t xml:space="preserve">sehingga </w:t>
      </w:r>
      <w:r>
        <w:rPr>
          <w:rFonts w:eastAsia="Calibri"/>
          <w:color w:val="000000"/>
          <w:lang w:eastAsia="id-ID"/>
        </w:rPr>
        <w:t xml:space="preserve">dapat disimpulkan bahwa </w:t>
      </w:r>
      <w:r w:rsidR="00E1018D">
        <w:t xml:space="preserve">ada </w:t>
      </w:r>
      <w:r>
        <w:t>perbedaan bermakna rerata pada kedua kelompok atau ada perbedaan bermakna rerata pada kelompok eksperimen dan kelompok kontrol (</w:t>
      </w:r>
      <m:oMath>
        <m:sSub>
          <m:sSubPr>
            <m:ctrlPr>
              <w:rPr>
                <w:rFonts w:ascii="Cambria Math" w:hAnsi="Cambria Math"/>
                <w:i/>
                <w:lang w:val="id-ID"/>
              </w:rPr>
            </m:ctrlPr>
          </m:sSubPr>
          <m:e>
            <m:r>
              <w:rPr>
                <w:rFonts w:ascii="Cambria Math" w:hAnsi="Cambria Math"/>
              </w:rPr>
              <m:t>μ</m:t>
            </m:r>
          </m:e>
          <m:sub>
            <m:r>
              <w:rPr>
                <w:rFonts w:ascii="Cambria Math" w:hAnsi="Cambria Math"/>
              </w:rPr>
              <m:t>1</m:t>
            </m:r>
          </m:sub>
        </m:sSub>
        <m:sSub>
          <m:sSubPr>
            <m:ctrlPr>
              <w:rPr>
                <w:rFonts w:ascii="Cambria Math" w:hAnsi="Cambria Math"/>
                <w:i/>
                <w:lang w:val="id-ID"/>
              </w:rPr>
            </m:ctrlPr>
          </m:sSubPr>
          <m:e>
            <m:r>
              <w:rPr>
                <w:rFonts w:ascii="Cambria Math" w:hAnsi="Cambria Math"/>
              </w:rPr>
              <m:t>≠μ</m:t>
            </m:r>
          </m:e>
          <m:sub>
            <m:r>
              <w:rPr>
                <w:rFonts w:ascii="Cambria Math" w:hAnsi="Cambria Math"/>
              </w:rPr>
              <m:t>2</m:t>
            </m:r>
          </m:sub>
        </m:sSub>
        <m:r>
          <w:rPr>
            <w:rFonts w:ascii="Cambria Math" w:hAnsi="Cambria Math"/>
          </w:rPr>
          <m:t>)</m:t>
        </m:r>
      </m:oMath>
      <w:r>
        <w:t>.</w:t>
      </w:r>
    </w:p>
    <w:p w:rsidR="00902C48" w:rsidRDefault="00902C48" w:rsidP="007B69FD">
      <w:pPr>
        <w:ind w:firstLine="426"/>
        <w:jc w:val="both"/>
      </w:pPr>
    </w:p>
    <w:p w:rsidR="00902C48" w:rsidRDefault="00902C48" w:rsidP="007B69FD">
      <w:pPr>
        <w:widowControl w:val="0"/>
        <w:autoSpaceDE w:val="0"/>
        <w:autoSpaceDN w:val="0"/>
        <w:jc w:val="center"/>
        <w:rPr>
          <w:b/>
        </w:rPr>
      </w:pPr>
      <w:r w:rsidRPr="00902C48">
        <w:rPr>
          <w:b/>
        </w:rPr>
        <w:t>PEMBAHASAN</w:t>
      </w:r>
    </w:p>
    <w:p w:rsidR="00902C48" w:rsidRDefault="00902C48" w:rsidP="007B69FD">
      <w:pPr>
        <w:widowControl w:val="0"/>
        <w:autoSpaceDE w:val="0"/>
        <w:autoSpaceDN w:val="0"/>
        <w:jc w:val="center"/>
      </w:pPr>
    </w:p>
    <w:p w:rsidR="00902C48" w:rsidRDefault="00902C48" w:rsidP="007B69FD">
      <w:pPr>
        <w:widowControl w:val="0"/>
        <w:autoSpaceDE w:val="0"/>
        <w:autoSpaceDN w:val="0"/>
        <w:ind w:firstLine="426"/>
        <w:jc w:val="both"/>
        <w:rPr>
          <w:lang w:val="en-US"/>
        </w:rPr>
      </w:pPr>
      <w:r w:rsidRPr="008B6CB8">
        <w:t>Pelaksanaan penelitian ini dilakukan sebanyak delapan kali pertemuan, dengan rincian satu kali tes awal (</w:t>
      </w:r>
      <w:r w:rsidR="00E1018D">
        <w:rPr>
          <w:i/>
          <w:iCs/>
        </w:rPr>
        <w:t>pre</w:t>
      </w:r>
      <w:r w:rsidRPr="008B6CB8">
        <w:rPr>
          <w:i/>
          <w:iCs/>
        </w:rPr>
        <w:t>test</w:t>
      </w:r>
      <w:r w:rsidRPr="008B6CB8">
        <w:t xml:space="preserve">), enam kali kegiatan pembelajaran materi aritmatika sosial dengan menggunakan model pembelajaran </w:t>
      </w:r>
      <w:r w:rsidRPr="008B6CB8">
        <w:rPr>
          <w:i/>
        </w:rPr>
        <w:t>Problem Based Learning</w:t>
      </w:r>
      <w:r w:rsidRPr="008B6CB8">
        <w:t xml:space="preserve"> pada kelas eksperimen dan menggunakan model pembelajaran konvensional pada kelas kontrol, kemudian diakhir pembelajaran diberikan tes akhir (</w:t>
      </w:r>
      <w:r w:rsidR="00E1018D">
        <w:rPr>
          <w:i/>
          <w:iCs/>
        </w:rPr>
        <w:t>post</w:t>
      </w:r>
      <w:r w:rsidRPr="008B6CB8">
        <w:rPr>
          <w:i/>
          <w:iCs/>
        </w:rPr>
        <w:t>test</w:t>
      </w:r>
      <w:r w:rsidRPr="008B6CB8">
        <w:t xml:space="preserve">). Penelitian ini diawali dengan pemberian tes awal pada pertemuan pertama. Dari hasil analisis kemampuan pemecahan masalah data awal siswa diperoleh rata-rata nilai </w:t>
      </w:r>
      <w:r w:rsidRPr="008B6CB8">
        <w:rPr>
          <w:i/>
          <w:iCs/>
        </w:rPr>
        <w:t xml:space="preserve">pretest </w:t>
      </w:r>
      <w:r w:rsidRPr="008B6CB8">
        <w:t>siswa adalah sebesar 30.</w:t>
      </w:r>
    </w:p>
    <w:p w:rsidR="00902C48" w:rsidRPr="008B6CB8" w:rsidRDefault="00902C48" w:rsidP="007B69FD">
      <w:pPr>
        <w:widowControl w:val="0"/>
        <w:autoSpaceDE w:val="0"/>
        <w:autoSpaceDN w:val="0"/>
        <w:ind w:firstLine="426"/>
        <w:jc w:val="both"/>
      </w:pPr>
      <w:r w:rsidRPr="008B6CB8">
        <w:t>Pada pertemuan kedua hingga ketujuh peneliti melaku</w:t>
      </w:r>
      <w:r w:rsidR="00E1018D">
        <w:t xml:space="preserve">kan perlakuan terhadap kelas X </w:t>
      </w:r>
      <w:r w:rsidRPr="008B6CB8">
        <w:t xml:space="preserve">A yaitu melakukan kegiatan pembelajaran dengan menggunakan model pembelajaran </w:t>
      </w:r>
      <w:r w:rsidRPr="008B6CB8">
        <w:rPr>
          <w:i/>
        </w:rPr>
        <w:t>Problem Based Learning</w:t>
      </w:r>
      <w:r w:rsidRPr="008B6CB8">
        <w:t>, sedang</w:t>
      </w:r>
      <w:r w:rsidR="00E1018D">
        <w:t>kan perlakuan terhadap kelas X</w:t>
      </w:r>
      <w:r w:rsidRPr="008B6CB8">
        <w:t xml:space="preserve"> B</w:t>
      </w:r>
      <w:r>
        <w:t xml:space="preserve"> </w:t>
      </w:r>
      <w:r w:rsidRPr="008B6CB8">
        <w:t>yaitu dengan menggunakan model pembelajaran konvensional. Kedua perlakuan tersebut dilakukan dalam mata pelajaran matematika pada materi aritmatika sosial. Pada pertemuan kedelapan peneliti melakukan pe</w:t>
      </w:r>
      <w:r w:rsidR="00E1018D">
        <w:t>ngujian terhadap siswa kelas X A dan X</w:t>
      </w:r>
      <w:r w:rsidRPr="008B6CB8">
        <w:t xml:space="preserve"> B untuk melihat ada atau tidaknya perbedaan peningatan kemampuan </w:t>
      </w:r>
      <w:r w:rsidR="002654E5" w:rsidRPr="005C459E">
        <w:t>pemecahan masalah</w:t>
      </w:r>
      <w:r w:rsidRPr="008B6CB8">
        <w:t xml:space="preserve"> matematis siswa setelah diberikan perlakuan, yaitu dengan dilaksanakannya tes akhir (</w:t>
      </w:r>
      <w:r w:rsidR="00E1018D">
        <w:rPr>
          <w:i/>
        </w:rPr>
        <w:t>post</w:t>
      </w:r>
      <w:r w:rsidR="00E1018D" w:rsidRPr="008B6CB8">
        <w:rPr>
          <w:i/>
        </w:rPr>
        <w:t>test</w:t>
      </w:r>
      <w:r w:rsidRPr="008B6CB8">
        <w:t xml:space="preserve">). </w:t>
      </w:r>
    </w:p>
    <w:p w:rsidR="00E603B9" w:rsidRDefault="00E603B9" w:rsidP="007B69FD">
      <w:pPr>
        <w:jc w:val="both"/>
        <w:rPr>
          <w:rStyle w:val="longtext"/>
          <w:lang w:val="en-US"/>
        </w:rPr>
      </w:pPr>
    </w:p>
    <w:p w:rsidR="00545417" w:rsidRPr="002123E9" w:rsidRDefault="002D2205" w:rsidP="007B69FD">
      <w:pPr>
        <w:pStyle w:val="IEEEHeading2"/>
        <w:numPr>
          <w:ilvl w:val="0"/>
          <w:numId w:val="0"/>
        </w:numPr>
        <w:tabs>
          <w:tab w:val="left" w:pos="3466"/>
          <w:tab w:val="center" w:pos="5142"/>
        </w:tabs>
        <w:spacing w:before="0" w:after="0"/>
        <w:jc w:val="center"/>
        <w:rPr>
          <w:b/>
          <w:i w:val="0"/>
          <w:sz w:val="24"/>
          <w:szCs w:val="20"/>
          <w:lang w:val="en-ID"/>
        </w:rPr>
      </w:pPr>
      <w:r>
        <w:rPr>
          <w:b/>
          <w:i w:val="0"/>
          <w:sz w:val="24"/>
          <w:szCs w:val="20"/>
          <w:lang w:val="en-US"/>
        </w:rPr>
        <w:t>KESIMPULAN</w:t>
      </w:r>
    </w:p>
    <w:p w:rsidR="005D1C4A" w:rsidRDefault="005D1C4A" w:rsidP="007B69FD">
      <w:pPr>
        <w:ind w:firstLine="709"/>
        <w:jc w:val="both"/>
        <w:rPr>
          <w:lang w:val="id-ID"/>
        </w:rPr>
      </w:pPr>
    </w:p>
    <w:p w:rsidR="00545417" w:rsidRDefault="002D2205" w:rsidP="002166E3">
      <w:pPr>
        <w:ind w:firstLine="426"/>
        <w:jc w:val="both"/>
        <w:rPr>
          <w:lang w:val="id-ID"/>
        </w:rPr>
      </w:pPr>
      <w:r>
        <w:t xml:space="preserve">Berdasarkan analisis data di atas dapat dikatakan ada perbedaan antara siswa yang memperoleh model pembelajaran </w:t>
      </w:r>
      <w:r>
        <w:rPr>
          <w:i/>
          <w:iCs/>
        </w:rPr>
        <w:t xml:space="preserve">Problem Based Learning </w:t>
      </w:r>
      <w:r w:rsidR="005C459E">
        <w:t>dengan</w:t>
      </w:r>
      <w:r>
        <w:t xml:space="preserve"> siswa yang memperoleh pembelajaran konvensional. Oleh karena itu, dapat disimpulkan bahwa </w:t>
      </w:r>
      <w:r w:rsidR="005C459E" w:rsidRPr="005C459E">
        <w:t xml:space="preserve">penerapan model </w:t>
      </w:r>
      <w:r w:rsidR="005C459E" w:rsidRPr="005C459E">
        <w:rPr>
          <w:i/>
        </w:rPr>
        <w:t>problem based learning</w:t>
      </w:r>
      <w:r w:rsidR="009E29F8">
        <w:t xml:space="preserve"> dapat</w:t>
      </w:r>
      <w:r w:rsidR="005C459E" w:rsidRPr="005C459E">
        <w:t xml:space="preserve"> meningkatkan kemampuan pemecahan masalah matematis siswa</w:t>
      </w:r>
      <w:r w:rsidR="005C459E">
        <w:t xml:space="preserve"> </w:t>
      </w:r>
      <w:r>
        <w:t xml:space="preserve">pada materi aritmatika sosial pada siswa kelas </w:t>
      </w:r>
      <w:r w:rsidR="00E1018D">
        <w:t xml:space="preserve">X MA Annizhomiyyah </w:t>
      </w:r>
      <w:r>
        <w:t>semester genap tahun pelajaran 2018/2019.</w:t>
      </w:r>
    </w:p>
    <w:p w:rsidR="00545417" w:rsidRPr="007B69FD" w:rsidRDefault="00545417" w:rsidP="007B69FD">
      <w:pPr>
        <w:pStyle w:val="IEEEHeading2"/>
        <w:numPr>
          <w:ilvl w:val="0"/>
          <w:numId w:val="0"/>
        </w:numPr>
        <w:tabs>
          <w:tab w:val="left" w:pos="3466"/>
          <w:tab w:val="center" w:pos="5142"/>
        </w:tabs>
        <w:spacing w:before="0" w:after="0"/>
        <w:jc w:val="both"/>
        <w:rPr>
          <w:b/>
          <w:i w:val="0"/>
          <w:sz w:val="24"/>
          <w:lang w:val="id-ID"/>
        </w:rPr>
      </w:pPr>
    </w:p>
    <w:p w:rsidR="00C241C0" w:rsidRDefault="00C241C0" w:rsidP="007B69FD">
      <w:pPr>
        <w:pStyle w:val="IEEEHeading1"/>
        <w:numPr>
          <w:ilvl w:val="0"/>
          <w:numId w:val="0"/>
        </w:numPr>
        <w:spacing w:before="0" w:after="0"/>
        <w:rPr>
          <w:b/>
          <w:sz w:val="24"/>
          <w:lang w:val="en-US"/>
        </w:rPr>
      </w:pPr>
      <w:r>
        <w:rPr>
          <w:b/>
          <w:sz w:val="24"/>
          <w:lang w:val="en-US"/>
        </w:rPr>
        <w:t>UCAPAN TERIMA KASIH</w:t>
      </w:r>
    </w:p>
    <w:p w:rsidR="00C241C0" w:rsidRDefault="00C241C0" w:rsidP="00C241C0">
      <w:pPr>
        <w:pStyle w:val="IEEEParagraph"/>
        <w:ind w:firstLine="0"/>
        <w:rPr>
          <w:lang w:val="en-US"/>
        </w:rPr>
      </w:pPr>
    </w:p>
    <w:p w:rsidR="00C241C0" w:rsidRDefault="004C4577" w:rsidP="002166E3">
      <w:pPr>
        <w:pStyle w:val="IEEEParagraph"/>
        <w:ind w:firstLine="426"/>
        <w:rPr>
          <w:lang w:val="en-US"/>
        </w:rPr>
      </w:pPr>
      <w:r>
        <w:rPr>
          <w:lang w:val="en-US"/>
        </w:rPr>
        <w:t xml:space="preserve">Puji syukur penulis panjatkan ke hadirat Allah Swt., karena atas rahmat dan karunia-Nya, </w:t>
      </w:r>
      <w:r w:rsidR="0014379C">
        <w:rPr>
          <w:lang w:val="en-US"/>
        </w:rPr>
        <w:t xml:space="preserve">penelitian ini </w:t>
      </w:r>
      <w:r>
        <w:rPr>
          <w:lang w:val="en-US"/>
        </w:rPr>
        <w:t xml:space="preserve">bisa dilaksanakan. Penelitian ini tidaklah mungkin tanpa bantuan, dukungan, dan bimbingan berbagai pihak. Pada kesempatan ini penulis ingin mengucapkan banyak terima kasih </w:t>
      </w:r>
      <w:r w:rsidR="002166E3">
        <w:rPr>
          <w:lang w:val="en-US"/>
        </w:rPr>
        <w:t xml:space="preserve">kepada </w:t>
      </w:r>
      <w:r w:rsidR="00C241C0">
        <w:rPr>
          <w:lang w:val="en-US"/>
        </w:rPr>
        <w:t>semua pihak yang</w:t>
      </w:r>
      <w:r>
        <w:rPr>
          <w:lang w:val="en-US"/>
        </w:rPr>
        <w:t xml:space="preserve"> terlibat </w:t>
      </w:r>
      <w:r w:rsidR="00C241C0">
        <w:rPr>
          <w:lang w:val="en-US"/>
        </w:rPr>
        <w:t xml:space="preserve">dalam melaksanakan penelitian ini, sehingga penelitian </w:t>
      </w:r>
      <w:r>
        <w:rPr>
          <w:lang w:val="en-US"/>
        </w:rPr>
        <w:t>bisa terselesaikan.</w:t>
      </w:r>
    </w:p>
    <w:p w:rsidR="002166E3" w:rsidRPr="00C241C0" w:rsidRDefault="002166E3" w:rsidP="00C241C0">
      <w:pPr>
        <w:pStyle w:val="IEEEParagraph"/>
        <w:ind w:firstLine="0"/>
        <w:rPr>
          <w:lang w:val="en-US"/>
        </w:rPr>
      </w:pPr>
    </w:p>
    <w:p w:rsidR="003462F6" w:rsidRPr="007F0260" w:rsidRDefault="009E29F8" w:rsidP="007B69FD">
      <w:pPr>
        <w:pStyle w:val="IEEEHeading1"/>
        <w:numPr>
          <w:ilvl w:val="0"/>
          <w:numId w:val="0"/>
        </w:numPr>
        <w:spacing w:before="0" w:after="0"/>
        <w:rPr>
          <w:b/>
          <w:sz w:val="24"/>
          <w:lang w:val="en-ID"/>
        </w:rPr>
      </w:pPr>
      <w:r>
        <w:rPr>
          <w:b/>
          <w:sz w:val="24"/>
          <w:lang w:val="en-US"/>
        </w:rPr>
        <w:t>DAFTAR RUJUKAN</w:t>
      </w:r>
    </w:p>
    <w:p w:rsidR="00781A24" w:rsidRPr="002D2205" w:rsidRDefault="00781A24" w:rsidP="007B69FD">
      <w:pPr>
        <w:pStyle w:val="IEEEParagraph"/>
        <w:ind w:firstLine="0"/>
        <w:rPr>
          <w:lang w:val="en-US"/>
        </w:rPr>
      </w:pPr>
    </w:p>
    <w:p w:rsidR="002D2205" w:rsidRDefault="002D2205" w:rsidP="007B69FD">
      <w:pPr>
        <w:tabs>
          <w:tab w:val="left" w:pos="426"/>
        </w:tabs>
        <w:ind w:left="709" w:hanging="709"/>
        <w:jc w:val="both"/>
      </w:pPr>
      <w:r w:rsidRPr="007F3745">
        <w:t xml:space="preserve">Ariandi, Y. (2016). “Analisis Kemampuan Pemecahan Masalah Berdasarkan Aktivitas Belajar Pada Model Pembelajaran PBL”. </w:t>
      </w:r>
      <w:r w:rsidRPr="007F3745">
        <w:rPr>
          <w:i/>
        </w:rPr>
        <w:t>Seminar Nasional Matematika X Universitas Negeri Semarang</w:t>
      </w:r>
      <w:r w:rsidRPr="007F3745">
        <w:t>.</w:t>
      </w:r>
    </w:p>
    <w:p w:rsidR="007F3745" w:rsidRPr="007F3745" w:rsidRDefault="007F3745" w:rsidP="007B69FD">
      <w:pPr>
        <w:tabs>
          <w:tab w:val="left" w:pos="426"/>
        </w:tabs>
        <w:ind w:left="709" w:hanging="709"/>
        <w:jc w:val="both"/>
      </w:pPr>
    </w:p>
    <w:p w:rsidR="002D2205" w:rsidRDefault="002D2205" w:rsidP="007B69FD">
      <w:pPr>
        <w:tabs>
          <w:tab w:val="left" w:pos="426"/>
        </w:tabs>
        <w:ind w:left="709" w:hanging="709"/>
        <w:jc w:val="both"/>
      </w:pPr>
      <w:r w:rsidRPr="007F3745">
        <w:t>Azzumarito, D.</w:t>
      </w:r>
      <w:r w:rsidR="00E61C5C" w:rsidRPr="007F3745">
        <w:t xml:space="preserve"> </w:t>
      </w:r>
      <w:r w:rsidRPr="007F3745">
        <w:t xml:space="preserve">P. (2014). “Pengembangan Instrument Test Literasi Matematika Model PISA”. </w:t>
      </w:r>
      <w:r w:rsidRPr="007F3745">
        <w:rPr>
          <w:i/>
        </w:rPr>
        <w:t xml:space="preserve">Journal </w:t>
      </w:r>
      <w:proofErr w:type="gramStart"/>
      <w:r w:rsidRPr="007F3745">
        <w:rPr>
          <w:i/>
        </w:rPr>
        <w:t>Of</w:t>
      </w:r>
      <w:proofErr w:type="gramEnd"/>
      <w:r w:rsidRPr="007F3745">
        <w:rPr>
          <w:i/>
        </w:rPr>
        <w:t xml:space="preserve"> Educational Research and Evaluation</w:t>
      </w:r>
      <w:r w:rsidRPr="007F3745">
        <w:t>. Vol. 3. No.2</w:t>
      </w:r>
      <w:r w:rsidR="00E61C5C" w:rsidRPr="007F3745">
        <w:t>.</w:t>
      </w:r>
    </w:p>
    <w:p w:rsidR="007F3745" w:rsidRPr="007F3745" w:rsidRDefault="007F3745" w:rsidP="007B69FD">
      <w:pPr>
        <w:tabs>
          <w:tab w:val="left" w:pos="426"/>
        </w:tabs>
        <w:ind w:left="709" w:hanging="709"/>
        <w:jc w:val="both"/>
      </w:pPr>
    </w:p>
    <w:p w:rsidR="002D2205" w:rsidRDefault="002D2205" w:rsidP="007B69FD">
      <w:pPr>
        <w:tabs>
          <w:tab w:val="left" w:pos="426"/>
        </w:tabs>
        <w:ind w:left="709" w:hanging="709"/>
        <w:jc w:val="both"/>
      </w:pPr>
      <w:r w:rsidRPr="007F3745">
        <w:t>Henneingsen, M</w:t>
      </w:r>
      <w:r w:rsidR="00E61C5C" w:rsidRPr="007F3745">
        <w:t>.,</w:t>
      </w:r>
      <w:r w:rsidRPr="007F3745">
        <w:t xml:space="preserve"> &amp; Stein, M. K. </w:t>
      </w:r>
      <w:r w:rsidR="00E61C5C" w:rsidRPr="007F3745">
        <w:t>(</w:t>
      </w:r>
      <w:r w:rsidRPr="007F3745">
        <w:t>1997</w:t>
      </w:r>
      <w:r w:rsidR="00E61C5C" w:rsidRPr="007F3745">
        <w:t>)</w:t>
      </w:r>
      <w:r w:rsidRPr="007F3745">
        <w:t xml:space="preserve">. Mathematical task and student cognition: classroom-based factors that support and inhibit high-level mathematical thinking and reasoning. </w:t>
      </w:r>
      <w:r w:rsidRPr="007F3745">
        <w:rPr>
          <w:i/>
        </w:rPr>
        <w:t>Journal for Research in Mathematics Education</w:t>
      </w:r>
      <w:r w:rsidRPr="007F3745">
        <w:t>. 28(5), hlm. 524-549.</w:t>
      </w:r>
    </w:p>
    <w:p w:rsidR="007F3745" w:rsidRPr="007F3745" w:rsidRDefault="007F3745" w:rsidP="007B69FD">
      <w:pPr>
        <w:tabs>
          <w:tab w:val="left" w:pos="426"/>
        </w:tabs>
        <w:ind w:left="709" w:hanging="709"/>
        <w:jc w:val="both"/>
      </w:pPr>
    </w:p>
    <w:p w:rsidR="002D2205" w:rsidRDefault="002D2205" w:rsidP="007B69FD">
      <w:pPr>
        <w:tabs>
          <w:tab w:val="left" w:pos="426"/>
        </w:tabs>
        <w:ind w:left="709" w:hanging="709"/>
        <w:jc w:val="both"/>
      </w:pPr>
      <w:r w:rsidRPr="007F3745">
        <w:t xml:space="preserve">Indrawan, R. dan Yaniawati, P. (2016). </w:t>
      </w:r>
      <w:r w:rsidRPr="007F3745">
        <w:rPr>
          <w:i/>
        </w:rPr>
        <w:t>Metodologi Penelitian</w:t>
      </w:r>
      <w:r w:rsidRPr="007F3745">
        <w:t>. Bandung: Refika Aditama.</w:t>
      </w:r>
    </w:p>
    <w:p w:rsidR="007F3745" w:rsidRPr="007F3745" w:rsidRDefault="007F3745" w:rsidP="007B69FD">
      <w:pPr>
        <w:tabs>
          <w:tab w:val="left" w:pos="426"/>
        </w:tabs>
        <w:ind w:left="709" w:hanging="709"/>
        <w:jc w:val="both"/>
      </w:pPr>
    </w:p>
    <w:p w:rsidR="002D2205" w:rsidRDefault="002D2205" w:rsidP="007B69FD">
      <w:pPr>
        <w:tabs>
          <w:tab w:val="left" w:pos="426"/>
        </w:tabs>
        <w:ind w:left="709" w:hanging="709"/>
        <w:jc w:val="both"/>
      </w:pPr>
      <w:r w:rsidRPr="007F3745">
        <w:t>Kurnadi dan Tirta, P</w:t>
      </w:r>
      <w:r w:rsidR="00FC68E0">
        <w:t xml:space="preserve">. </w:t>
      </w:r>
      <w:r w:rsidRPr="007F3745">
        <w:t xml:space="preserve">S. (2017). Peningkatan Kemampuan Kompetensi Strategis Matematis Siswa Meelalui Model Pembelajaran Kuantum. </w:t>
      </w:r>
      <w:r w:rsidRPr="007F3745">
        <w:rPr>
          <w:i/>
        </w:rPr>
        <w:t>Journal of Mathematics Education</w:t>
      </w:r>
      <w:r w:rsidRPr="007F3745">
        <w:t>. Vol. 2. No.1.</w:t>
      </w:r>
    </w:p>
    <w:p w:rsidR="007F3745" w:rsidRPr="007F3745" w:rsidRDefault="007F3745" w:rsidP="007B69FD">
      <w:pPr>
        <w:tabs>
          <w:tab w:val="left" w:pos="426"/>
        </w:tabs>
        <w:ind w:left="709" w:hanging="709"/>
        <w:jc w:val="both"/>
      </w:pPr>
    </w:p>
    <w:p w:rsidR="007F3745" w:rsidRDefault="007F3745" w:rsidP="007B69FD">
      <w:pPr>
        <w:tabs>
          <w:tab w:val="left" w:pos="426"/>
        </w:tabs>
        <w:ind w:left="709" w:hanging="709"/>
        <w:jc w:val="both"/>
      </w:pPr>
      <w:r w:rsidRPr="007F3745">
        <w:t xml:space="preserve">Larasati, N. dkk. (2017) “Literasi Matematika pada Mahasiswa Fakultas Ekonomi Universitas Pancasakti Tegal”. </w:t>
      </w:r>
      <w:r w:rsidRPr="007F3745">
        <w:rPr>
          <w:i/>
        </w:rPr>
        <w:t>Jurnal pendidikan MIPA Pancasakti</w:t>
      </w:r>
      <w:r w:rsidRPr="007F3745">
        <w:t>. Vol. 1. No. 1.</w:t>
      </w:r>
    </w:p>
    <w:p w:rsidR="007F3745" w:rsidRDefault="007F3745" w:rsidP="007B69FD">
      <w:pPr>
        <w:autoSpaceDE w:val="0"/>
        <w:autoSpaceDN w:val="0"/>
        <w:adjustRightInd w:val="0"/>
        <w:ind w:left="709" w:hanging="709"/>
        <w:jc w:val="both"/>
      </w:pPr>
    </w:p>
    <w:p w:rsidR="00545417" w:rsidRPr="001469E1" w:rsidRDefault="002D2205" w:rsidP="001469E1">
      <w:pPr>
        <w:autoSpaceDE w:val="0"/>
        <w:autoSpaceDN w:val="0"/>
        <w:adjustRightInd w:val="0"/>
        <w:ind w:left="709" w:hanging="709"/>
        <w:jc w:val="both"/>
      </w:pPr>
      <w:r w:rsidRPr="007F3745">
        <w:t>Sukmadinata, N.</w:t>
      </w:r>
      <w:r w:rsidR="00E61C5C" w:rsidRPr="007F3745">
        <w:t xml:space="preserve"> </w:t>
      </w:r>
      <w:r w:rsidRPr="007F3745">
        <w:t xml:space="preserve">S. (2011). </w:t>
      </w:r>
      <w:r w:rsidRPr="007F3745">
        <w:rPr>
          <w:i/>
        </w:rPr>
        <w:t>Metode Penelitian Pendidikan</w:t>
      </w:r>
      <w:r w:rsidRPr="007F3745">
        <w:t xml:space="preserve">. </w:t>
      </w:r>
      <w:proofErr w:type="gramStart"/>
      <w:r w:rsidRPr="007F3745">
        <w:t>Bandung :</w:t>
      </w:r>
      <w:proofErr w:type="gramEnd"/>
      <w:r w:rsidRPr="007F3745">
        <w:t xml:space="preserve"> Remaja Rosdakarya.</w:t>
      </w:r>
    </w:p>
    <w:sectPr w:rsidR="00545417" w:rsidRPr="001469E1" w:rsidSect="0089028D">
      <w:headerReference w:type="default" r:id="rId17"/>
      <w:footerReference w:type="default" r:id="rId18"/>
      <w:type w:val="evenPage"/>
      <w:pgSz w:w="11906" w:h="16838" w:code="9"/>
      <w:pgMar w:top="1418" w:right="1134" w:bottom="1418" w:left="1134" w:header="709" w:footer="709" w:gutter="284"/>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8EF" w:rsidRDefault="00E968EF" w:rsidP="00B52AB3">
      <w:r>
        <w:separator/>
      </w:r>
    </w:p>
  </w:endnote>
  <w:endnote w:type="continuationSeparator" w:id="0">
    <w:p w:rsidR="00E968EF" w:rsidRDefault="00E968EF" w:rsidP="00B5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FB" w:rsidRPr="00781A24" w:rsidRDefault="00E524FB" w:rsidP="007F0260">
    <w:pPr>
      <w:pStyle w:val="Footer"/>
      <w:rPr>
        <w:rFonts w:ascii="Arial Narrow" w:hAnsi="Arial Narrow"/>
        <w:lang w:val="en-ID"/>
      </w:rPr>
    </w:pPr>
    <w:r w:rsidRPr="00781A24">
      <w:rPr>
        <w:rFonts w:ascii="Arial Narrow" w:hAnsi="Arial Narrow"/>
        <w:lang w:val="en-ID"/>
      </w:rPr>
      <w:t>JKPM (Jurnal Kaj</w:t>
    </w:r>
    <w:r w:rsidR="009E29F8">
      <w:rPr>
        <w:rFonts w:ascii="Arial Narrow" w:hAnsi="Arial Narrow"/>
        <w:lang w:val="en-ID"/>
      </w:rPr>
      <w:t>ian Pendidikan Matematika) Vol.</w:t>
    </w:r>
    <w:r w:rsidR="00616C67">
      <w:rPr>
        <w:rFonts w:ascii="Arial Narrow" w:hAnsi="Arial Narrow"/>
        <w:lang w:val="en-ID"/>
      </w:rPr>
      <w:t>5</w:t>
    </w:r>
    <w:r w:rsidR="001A5461">
      <w:rPr>
        <w:rFonts w:ascii="Arial Narrow" w:hAnsi="Arial Narrow"/>
        <w:lang w:val="en-ID"/>
      </w:rPr>
      <w:t>, No.</w:t>
    </w:r>
    <w:r w:rsidR="009E29F8">
      <w:rPr>
        <w:rFonts w:ascii="Arial Narrow" w:hAnsi="Arial Narrow"/>
        <w:lang w:val="en-ID"/>
      </w:rPr>
      <w:t>1</w:t>
    </w:r>
    <w:r w:rsidR="002D13BA">
      <w:rPr>
        <w:rFonts w:ascii="Arial Narrow" w:hAnsi="Arial Narrow"/>
        <w:lang w:val="en-ID"/>
      </w:rPr>
      <w:t xml:space="preserve"> (2019</w:t>
    </w:r>
    <w:r w:rsidRPr="00781A24">
      <w:rPr>
        <w:rFonts w:ascii="Arial Narrow" w:hAnsi="Arial Narrow"/>
        <w:lang w:val="en-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F6" w:rsidRPr="00781A24" w:rsidRDefault="00D630F6">
    <w:pPr>
      <w:pStyle w:val="Footer"/>
      <w:rPr>
        <w:rFonts w:ascii="Arial Narrow" w:hAnsi="Arial Narrow"/>
        <w:lang w:val="en-ID"/>
      </w:rPr>
    </w:pPr>
    <w:r w:rsidRPr="00781A24">
      <w:rPr>
        <w:rFonts w:ascii="Arial Narrow" w:hAnsi="Arial Narrow"/>
        <w:lang w:val="en-ID"/>
      </w:rPr>
      <w:t>JKPM (Jurnal Kajian Pendidikan Matematika) Vol. X, No. X (Year)</w:t>
    </w:r>
  </w:p>
  <w:p w:rsidR="00D630F6" w:rsidRPr="00781A24" w:rsidRDefault="00D630F6">
    <w:pPr>
      <w:pStyle w:val="Footer"/>
      <w:rPr>
        <w:rFonts w:ascii="Arial Narrow" w:hAnsi="Arial Narrow"/>
        <w:lang w:val="en-ID"/>
      </w:rPr>
    </w:pPr>
    <w:r w:rsidRPr="00781A24">
      <w:rPr>
        <w:rFonts w:ascii="Arial Narrow" w:hAnsi="Arial Narrow"/>
        <w:lang w:val="en-ID"/>
      </w:rPr>
      <w:t xml:space="preserve">DOI: </w:t>
    </w:r>
    <w:r w:rsidR="00127A2C">
      <w:rPr>
        <w:rFonts w:ascii="Arial Narrow" w:hAnsi="Arial Narrow"/>
        <w:lang w:val="en-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0655"/>
      <w:docPartObj>
        <w:docPartGallery w:val="Page Numbers (Bottom of Page)"/>
        <w:docPartUnique/>
      </w:docPartObj>
    </w:sdtPr>
    <w:sdtEndPr>
      <w:rPr>
        <w:sz w:val="22"/>
      </w:rPr>
    </w:sdtEndPr>
    <w:sdtContent>
      <w:p w:rsidR="00131344" w:rsidRPr="00401EBD" w:rsidRDefault="00AC0A1A">
        <w:pPr>
          <w:pStyle w:val="Footer"/>
          <w:jc w:val="center"/>
          <w:rPr>
            <w:sz w:val="22"/>
          </w:rPr>
        </w:pPr>
        <w:r w:rsidRPr="00401EBD">
          <w:rPr>
            <w:sz w:val="22"/>
          </w:rPr>
          <w:fldChar w:fldCharType="begin"/>
        </w:r>
        <w:r w:rsidR="00DD3461" w:rsidRPr="00401EBD">
          <w:rPr>
            <w:sz w:val="22"/>
          </w:rPr>
          <w:instrText xml:space="preserve"> PAGE   \* MERGEFORMAT </w:instrText>
        </w:r>
        <w:r w:rsidRPr="00401EBD">
          <w:rPr>
            <w:sz w:val="22"/>
          </w:rPr>
          <w:fldChar w:fldCharType="separate"/>
        </w:r>
        <w:r w:rsidR="00414E40">
          <w:rPr>
            <w:noProof/>
            <w:sz w:val="22"/>
          </w:rPr>
          <w:t>1</w:t>
        </w:r>
        <w:r w:rsidRPr="00401EBD">
          <w:rPr>
            <w:noProof/>
            <w:sz w:val="22"/>
          </w:rPr>
          <w:fldChar w:fldCharType="end"/>
        </w:r>
      </w:p>
    </w:sdtContent>
  </w:sdt>
  <w:p w:rsidR="00F22C0B" w:rsidRDefault="00E968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2C" w:rsidRPr="00781A24" w:rsidRDefault="00127A2C" w:rsidP="00127A2C">
    <w:pPr>
      <w:pStyle w:val="Footer"/>
      <w:jc w:val="right"/>
      <w:rPr>
        <w:rFonts w:ascii="Arial Narrow" w:hAnsi="Arial Narrow"/>
        <w:lang w:val="en-ID"/>
      </w:rPr>
    </w:pPr>
    <w:r w:rsidRPr="00781A24">
      <w:rPr>
        <w:rFonts w:ascii="Arial Narrow" w:hAnsi="Arial Narrow"/>
        <w:lang w:val="en-ID"/>
      </w:rPr>
      <w:t>JKPM (Jurnal Kaj</w:t>
    </w:r>
    <w:r w:rsidR="004E22D6">
      <w:rPr>
        <w:rFonts w:ascii="Arial Narrow" w:hAnsi="Arial Narrow"/>
        <w:lang w:val="en-ID"/>
      </w:rPr>
      <w:t>ian Pendidikan Matematika) Vol.5</w:t>
    </w:r>
    <w:r w:rsidR="00DC49CF">
      <w:rPr>
        <w:rFonts w:ascii="Arial Narrow" w:hAnsi="Arial Narrow"/>
        <w:lang w:val="en-ID"/>
      </w:rPr>
      <w:t>, No.</w:t>
    </w:r>
    <w:r w:rsidR="004E22D6">
      <w:rPr>
        <w:rFonts w:ascii="Arial Narrow" w:hAnsi="Arial Narrow"/>
        <w:lang w:val="en-ID"/>
      </w:rPr>
      <w:t>1</w:t>
    </w:r>
    <w:r w:rsidRPr="00781A24">
      <w:rPr>
        <w:rFonts w:ascii="Arial Narrow" w:hAnsi="Arial Narrow"/>
        <w:lang w:val="en-ID"/>
      </w:rPr>
      <w:t xml:space="preserve"> </w:t>
    </w:r>
    <w:r w:rsidR="00A866F2">
      <w:rPr>
        <w:rFonts w:ascii="Arial Narrow" w:hAnsi="Arial Narrow"/>
        <w:lang w:val="en-ID"/>
      </w:rPr>
      <w:t>(2019</w:t>
    </w:r>
    <w:r w:rsidRPr="00781A24">
      <w:rPr>
        <w:rFonts w:ascii="Arial Narrow" w:hAnsi="Arial Narrow"/>
        <w:lang w:val="en-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8EF" w:rsidRDefault="00E968EF" w:rsidP="00B52AB3">
      <w:r>
        <w:separator/>
      </w:r>
    </w:p>
  </w:footnote>
  <w:footnote w:type="continuationSeparator" w:id="0">
    <w:p w:rsidR="00E968EF" w:rsidRDefault="00E968EF" w:rsidP="00B52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030634"/>
      <w:docPartObj>
        <w:docPartGallery w:val="Page Numbers (Top of Page)"/>
        <w:docPartUnique/>
      </w:docPartObj>
    </w:sdtPr>
    <w:sdtEndPr>
      <w:rPr>
        <w:noProof/>
      </w:rPr>
    </w:sdtEndPr>
    <w:sdtContent>
      <w:p w:rsidR="00E524FB" w:rsidRDefault="00AC0A1A">
        <w:pPr>
          <w:pStyle w:val="Header"/>
        </w:pPr>
        <w:r>
          <w:fldChar w:fldCharType="begin"/>
        </w:r>
        <w:r w:rsidR="00E524FB">
          <w:instrText xml:space="preserve"> PAGE   \* MERGEFORMAT </w:instrText>
        </w:r>
        <w:r>
          <w:fldChar w:fldCharType="separate"/>
        </w:r>
        <w:r w:rsidR="006647FD">
          <w:rPr>
            <w:noProof/>
          </w:rPr>
          <w:t>4</w:t>
        </w:r>
        <w:r>
          <w:rPr>
            <w:noProof/>
          </w:rPr>
          <w:fldChar w:fldCharType="end"/>
        </w:r>
        <w:r w:rsidR="00E524FB">
          <w:rPr>
            <w:noProof/>
          </w:rPr>
          <w:t xml:space="preserve">  </w:t>
        </w:r>
        <w:r w:rsidR="00795F2A">
          <w:rPr>
            <w:rFonts w:ascii="Arial Narrow" w:hAnsi="Arial Narrow"/>
            <w:noProof/>
            <w:sz w:val="20"/>
          </w:rPr>
          <w:t>Rusdian Rifa’i, Deni Pratidiana, Septiani Dwi Arifiyanti</w:t>
        </w:r>
      </w:p>
    </w:sdtContent>
  </w:sdt>
  <w:p w:rsidR="00E524FB" w:rsidRDefault="00E52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FB" w:rsidRDefault="00E524FB">
    <w:pPr>
      <w:pStyle w:val="Header"/>
      <w:jc w:val="right"/>
    </w:pPr>
    <w:r>
      <w:rPr>
        <w:rFonts w:ascii="Arial Narrow" w:hAnsi="Arial Narrow"/>
        <w:noProof/>
        <w:sz w:val="20"/>
      </w:rPr>
      <w:t>Article Title</w:t>
    </w:r>
    <w:r>
      <w:t xml:space="preserve"> </w:t>
    </w:r>
    <w:sdt>
      <w:sdtPr>
        <w:id w:val="242377876"/>
        <w:docPartObj>
          <w:docPartGallery w:val="Page Numbers (Top of Page)"/>
          <w:docPartUnique/>
        </w:docPartObj>
      </w:sdtPr>
      <w:sdtEndPr>
        <w:rPr>
          <w:noProof/>
        </w:rPr>
      </w:sdtEndPr>
      <w:sdtContent>
        <w:r w:rsidR="00AC0A1A">
          <w:fldChar w:fldCharType="begin"/>
        </w:r>
        <w:r>
          <w:instrText xml:space="preserve"> PAGE   \* MERGEFORMAT </w:instrText>
        </w:r>
        <w:r w:rsidR="00AC0A1A">
          <w:fldChar w:fldCharType="separate"/>
        </w:r>
        <w:r>
          <w:rPr>
            <w:noProof/>
          </w:rPr>
          <w:t>5</w:t>
        </w:r>
        <w:r w:rsidR="00AC0A1A">
          <w:rPr>
            <w:noProof/>
          </w:rPr>
          <w:fldChar w:fldCharType="end"/>
        </w:r>
      </w:sdtContent>
    </w:sdt>
  </w:p>
  <w:p w:rsidR="00104C9F" w:rsidRDefault="00E968EF" w:rsidP="00D63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95" w:rsidRDefault="00CF3495">
    <w:pPr>
      <w:pStyle w:val="Header"/>
    </w:pPr>
  </w:p>
  <w:p w:rsidR="00BF4618" w:rsidRDefault="00E968EF">
    <w:pPr>
      <w:pStyle w:val="Header"/>
    </w:pPr>
    <w:r>
      <w:rPr>
        <w:noProof/>
        <w:lang w:val="en-US" w:eastAsia="en-US"/>
      </w:rPr>
      <w:pict>
        <v:shapetype id="_x0000_t202" coordsize="21600,21600" o:spt="202" path="m,l,21600r21600,l21600,xe">
          <v:stroke joinstyle="miter"/>
          <v:path gradientshapeok="t" o:connecttype="rect"/>
        </v:shapetype>
        <v:shape id="Text Box 2" o:spid="_x0000_s2049" type="#_x0000_t202" style="position:absolute;margin-left:-7.65pt;margin-top:11.85pt;width:212.85pt;height: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" fillcolor="white [3212]" strokecolor="white [3212]" strokeweight="0">
          <v:fill opacity="0"/>
          <v:textbox>
            <w:txbxContent>
              <w:p w:rsidR="00401EBD" w:rsidRPr="00781A24" w:rsidRDefault="00401EBD"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rsidR="00401EBD" w:rsidRPr="00401EBD" w:rsidRDefault="00401EBD"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00D630F6" w:rsidRPr="00781A24">
                  <w:rPr>
                    <w:rFonts w:ascii="Arial Narrow" w:hAnsi="Arial Narrow"/>
                    <w:noProof/>
                    <w:sz w:val="20"/>
                    <w:szCs w:val="20"/>
                    <w:lang w:val="id-ID"/>
                  </w:rPr>
                  <w:t>2477-</w:t>
                </w:r>
                <w:r w:rsidR="00E629FB" w:rsidRPr="00781A24">
                  <w:rPr>
                    <w:rFonts w:ascii="Arial Narrow" w:hAnsi="Arial Narrow"/>
                    <w:noProof/>
                    <w:sz w:val="20"/>
                    <w:szCs w:val="20"/>
                    <w:lang w:val="id-ID"/>
                  </w:rPr>
                  <w:t>2</w:t>
                </w:r>
                <w:r w:rsidR="00E629FB">
                  <w:rPr>
                    <w:rFonts w:ascii="Arial Narrow" w:hAnsi="Arial Narrow"/>
                    <w:noProof/>
                    <w:sz w:val="20"/>
                    <w:szCs w:val="20"/>
                    <w:lang w:val="id-ID"/>
                  </w:rPr>
                  <w:t>682</w:t>
                </w:r>
                <w:r w:rsidRPr="00401EBD">
                  <w:rPr>
                    <w:rFonts w:ascii="Arial Narrow" w:hAnsi="Arial Narrow"/>
                    <w:noProof/>
                    <w:sz w:val="20"/>
                    <w:szCs w:val="20"/>
                    <w:lang w:val="en-US"/>
                  </w:rPr>
                  <w:t xml:space="preserve"> (</w:t>
                </w:r>
                <w:r w:rsidR="00D630F6" w:rsidRPr="00781A24">
                  <w:rPr>
                    <w:rFonts w:ascii="Arial Narrow" w:hAnsi="Arial Narrow"/>
                    <w:noProof/>
                    <w:sz w:val="20"/>
                    <w:szCs w:val="20"/>
                    <w:lang w:val="en-US"/>
                  </w:rPr>
                  <w:t>Electronic</w:t>
                </w:r>
                <w:r w:rsidRPr="00401EBD">
                  <w:rPr>
                    <w:rFonts w:ascii="Arial Narrow" w:hAnsi="Arial Narrow"/>
                    <w:noProof/>
                    <w:sz w:val="20"/>
                    <w:szCs w:val="20"/>
                    <w:lang w:val="en-US"/>
                  </w:rPr>
                  <w:t>)</w:t>
                </w:r>
              </w:p>
              <w:p w:rsidR="005A7F4E" w:rsidRPr="00781A24" w:rsidRDefault="00401EBD"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00D630F6" w:rsidRPr="00781A24">
                  <w:rPr>
                    <w:rFonts w:ascii="Arial Narrow" w:hAnsi="Arial Narrow"/>
                    <w:noProof/>
                    <w:sz w:val="20"/>
                    <w:szCs w:val="20"/>
                  </w:rPr>
                  <w:t>2477-2348</w:t>
                </w:r>
                <w:r w:rsidRPr="00781A24">
                  <w:rPr>
                    <w:rFonts w:ascii="Arial Narrow" w:hAnsi="Arial Narrow"/>
                    <w:noProof/>
                    <w:sz w:val="20"/>
                    <w:szCs w:val="20"/>
                    <w:lang w:val="en-US"/>
                  </w:rPr>
                  <w:t xml:space="preserve"> (</w:t>
                </w:r>
                <w:r w:rsidR="00D630F6" w:rsidRPr="00781A24">
                  <w:rPr>
                    <w:rFonts w:ascii="Arial Narrow" w:hAnsi="Arial Narrow"/>
                    <w:noProof/>
                    <w:sz w:val="20"/>
                    <w:szCs w:val="20"/>
                    <w:lang w:val="en-US"/>
                  </w:rPr>
                  <w:t>Print</w:t>
                </w:r>
                <w:r w:rsidRPr="00781A24">
                  <w:rPr>
                    <w:rFonts w:ascii="Arial Narrow" w:hAnsi="Arial Narrow"/>
                    <w:noProof/>
                    <w:sz w:val="20"/>
                    <w:szCs w:val="20"/>
                    <w:lang w:val="en-US"/>
                  </w:rPr>
                  <w:t>)</w:t>
                </w:r>
              </w:p>
              <w:p w:rsidR="00401EBD" w:rsidRPr="00781A24" w:rsidRDefault="00401EBD" w:rsidP="00401EBD">
                <w:pPr>
                  <w:rPr>
                    <w:rFonts w:ascii="Arial Narrow" w:hAnsi="Arial Narrow" w:cs="Courier New"/>
                    <w:sz w:val="20"/>
                    <w:szCs w:val="20"/>
                  </w:rPr>
                </w:pPr>
              </w:p>
            </w:txbxContent>
          </v:textbox>
        </v:shape>
      </w:pict>
    </w:r>
    <w:r w:rsidR="003A0644">
      <w:rPr>
        <w:noProof/>
        <w:lang w:val="en-US" w:eastAsia="en-US"/>
      </w:rPr>
      <w:drawing>
        <wp:anchor distT="0" distB="0" distL="114300" distR="114300" simplePos="0" relativeHeight="251666944" behindDoc="0" locked="0" layoutInCell="1" allowOverlap="1">
          <wp:simplePos x="0" y="0"/>
          <wp:positionH relativeFrom="column">
            <wp:posOffset>4568521</wp:posOffset>
          </wp:positionH>
          <wp:positionV relativeFrom="paragraph">
            <wp:posOffset>5080</wp:posOffset>
          </wp:positionV>
          <wp:extent cx="1548765" cy="6889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kpm logo.png"/>
                  <pic:cNvPicPr/>
                </pic:nvPicPr>
                <pic:blipFill>
                  <a:blip r:embed="rId1">
                    <a:extLst>
                      <a:ext uri="{28A0092B-C50C-407E-A947-70E740481C1C}">
                        <a14:useLocalDpi xmlns:a14="http://schemas.microsoft.com/office/drawing/2010/main" val="0"/>
                      </a:ext>
                    </a:extLst>
                  </a:blip>
                  <a:stretch>
                    <a:fillRect/>
                  </a:stretch>
                </pic:blipFill>
                <pic:spPr>
                  <a:xfrm>
                    <a:off x="0" y="0"/>
                    <a:ext cx="1548765" cy="688975"/>
                  </a:xfrm>
                  <a:prstGeom prst="rect">
                    <a:avLst/>
                  </a:prstGeom>
                </pic:spPr>
              </pic:pic>
            </a:graphicData>
          </a:graphic>
        </wp:anchor>
      </w:drawing>
    </w:r>
  </w:p>
  <w:p w:rsidR="00401EBD" w:rsidRDefault="00401EBD">
    <w:pPr>
      <w:pStyle w:val="Header"/>
    </w:pPr>
  </w:p>
  <w:p w:rsidR="00401EBD" w:rsidRDefault="00401EBD">
    <w:pPr>
      <w:pStyle w:val="Header"/>
    </w:pPr>
  </w:p>
  <w:p w:rsidR="00401EBD" w:rsidRDefault="00401EBD">
    <w:pPr>
      <w:pStyle w:val="Header"/>
    </w:pPr>
  </w:p>
  <w:p w:rsidR="00401EBD" w:rsidRDefault="00401E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24" w:rsidRPr="00D630F6" w:rsidRDefault="002D13BA" w:rsidP="00781A24">
    <w:pPr>
      <w:pStyle w:val="Header"/>
      <w:jc w:val="right"/>
      <w:rPr>
        <w:sz w:val="22"/>
      </w:rPr>
    </w:pPr>
    <w:r w:rsidRPr="002D13BA">
      <w:rPr>
        <w:rFonts w:ascii="Arial Narrow" w:hAnsi="Arial Narrow"/>
        <w:sz w:val="20"/>
        <w:szCs w:val="20"/>
      </w:rPr>
      <w:t xml:space="preserve">Penerapan Model </w:t>
    </w:r>
    <w:r w:rsidRPr="002D13BA">
      <w:rPr>
        <w:rFonts w:ascii="Arial Narrow" w:hAnsi="Arial Narrow"/>
        <w:i/>
        <w:sz w:val="20"/>
        <w:szCs w:val="20"/>
      </w:rPr>
      <w:t>Problem Based Learning</w:t>
    </w:r>
    <w:r w:rsidRPr="002D13BA">
      <w:rPr>
        <w:rFonts w:ascii="Arial Narrow" w:hAnsi="Arial Narrow"/>
        <w:sz w:val="20"/>
        <w:szCs w:val="20"/>
      </w:rPr>
      <w:t xml:space="preserve"> Untuk Meningkatkan Kemampuan Pemecahan Masalah Matematis Siswa</w:t>
    </w:r>
    <w:r w:rsidR="00BF6BFC">
      <w:t xml:space="preserve"> </w:t>
    </w:r>
    <w:sdt>
      <w:sdtPr>
        <w:id w:val="712232978"/>
        <w:docPartObj>
          <w:docPartGallery w:val="Page Numbers (Top of Page)"/>
          <w:docPartUnique/>
        </w:docPartObj>
      </w:sdtPr>
      <w:sdtEndPr>
        <w:rPr>
          <w:noProof/>
          <w:sz w:val="22"/>
        </w:rPr>
      </w:sdtEndPr>
      <w:sdtContent>
        <w:r w:rsidR="00AC0A1A" w:rsidRPr="00D630F6">
          <w:rPr>
            <w:sz w:val="22"/>
          </w:rPr>
          <w:fldChar w:fldCharType="begin"/>
        </w:r>
        <w:r w:rsidR="00781A24" w:rsidRPr="00D630F6">
          <w:rPr>
            <w:sz w:val="22"/>
          </w:rPr>
          <w:instrText xml:space="preserve"> PAGE   \* MERGEFORMAT </w:instrText>
        </w:r>
        <w:r w:rsidR="00AC0A1A" w:rsidRPr="00D630F6">
          <w:rPr>
            <w:sz w:val="22"/>
          </w:rPr>
          <w:fldChar w:fldCharType="separate"/>
        </w:r>
        <w:r w:rsidR="006647FD">
          <w:rPr>
            <w:noProof/>
            <w:sz w:val="22"/>
          </w:rPr>
          <w:t>5</w:t>
        </w:r>
        <w:r w:rsidR="00AC0A1A" w:rsidRPr="00D630F6">
          <w:rPr>
            <w:noProof/>
            <w:sz w:val="22"/>
          </w:rPr>
          <w:fldChar w:fldCharType="end"/>
        </w:r>
        <w:r w:rsidR="00781A24">
          <w:rPr>
            <w:noProof/>
            <w:sz w:val="22"/>
          </w:rPr>
          <w:t xml:space="preserve">  </w:t>
        </w:r>
      </w:sdtContent>
    </w:sdt>
  </w:p>
  <w:p w:rsidR="00781A24" w:rsidRDefault="00781A24" w:rsidP="00D63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E61F47"/>
    <w:multiLevelType w:val="multilevel"/>
    <w:tmpl w:val="04E61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1E7749"/>
    <w:multiLevelType w:val="hybridMultilevel"/>
    <w:tmpl w:val="B58C3692"/>
    <w:lvl w:ilvl="0" w:tplc="3A54FF0A">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1186B5E"/>
    <w:multiLevelType w:val="hybridMultilevel"/>
    <w:tmpl w:val="698A434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590B28"/>
    <w:multiLevelType w:val="multilevel"/>
    <w:tmpl w:val="12590B28"/>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3206B4C"/>
    <w:multiLevelType w:val="multilevel"/>
    <w:tmpl w:val="13206B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B734F19"/>
    <w:multiLevelType w:val="multilevel"/>
    <w:tmpl w:val="1B734F1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1C24436B"/>
    <w:multiLevelType w:val="multilevel"/>
    <w:tmpl w:val="1C24436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234710DC"/>
    <w:multiLevelType w:val="hybridMultilevel"/>
    <w:tmpl w:val="02D4012A"/>
    <w:lvl w:ilvl="0" w:tplc="8564DB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1A6DD7"/>
    <w:multiLevelType w:val="multilevel"/>
    <w:tmpl w:val="261A6D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9914833"/>
    <w:multiLevelType w:val="multilevel"/>
    <w:tmpl w:val="29914833"/>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580682"/>
    <w:multiLevelType w:val="hybridMultilevel"/>
    <w:tmpl w:val="705CFDF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nsid w:val="2E523408"/>
    <w:multiLevelType w:val="hybridMultilevel"/>
    <w:tmpl w:val="83CC9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53031AF"/>
    <w:multiLevelType w:val="multilevel"/>
    <w:tmpl w:val="353031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D412EB"/>
    <w:multiLevelType w:val="hybridMultilevel"/>
    <w:tmpl w:val="871816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8C50F54"/>
    <w:multiLevelType w:val="hybridMultilevel"/>
    <w:tmpl w:val="5C1C04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24343C"/>
    <w:multiLevelType w:val="hybridMultilevel"/>
    <w:tmpl w:val="46B62A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21E4B37"/>
    <w:multiLevelType w:val="hybridMultilevel"/>
    <w:tmpl w:val="6E485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CB4752"/>
    <w:multiLevelType w:val="hybridMultilevel"/>
    <w:tmpl w:val="D0AE5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D1431B3"/>
    <w:multiLevelType w:val="hybridMultilevel"/>
    <w:tmpl w:val="B1A462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9A42621"/>
    <w:multiLevelType w:val="multilevel"/>
    <w:tmpl w:val="59A42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FF4240"/>
    <w:multiLevelType w:val="hybridMultilevel"/>
    <w:tmpl w:val="D89EE54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923BCD"/>
    <w:multiLevelType w:val="hybridMultilevel"/>
    <w:tmpl w:val="69CE98FE"/>
    <w:lvl w:ilvl="0" w:tplc="F522D9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8061C1"/>
    <w:multiLevelType w:val="multilevel"/>
    <w:tmpl w:val="638061C1"/>
    <w:lvl w:ilvl="0">
      <w:start w:val="1"/>
      <w:numFmt w:val="decimal"/>
      <w:lvlText w:val="%1."/>
      <w:lvlJc w:val="left"/>
      <w:pPr>
        <w:tabs>
          <w:tab w:val="left" w:pos="720"/>
        </w:tabs>
        <w:ind w:left="720" w:hanging="360"/>
      </w:pPr>
      <w:rPr>
        <w:rFonts w:ascii="Times New Roman" w:eastAsia="SimSu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EB60787"/>
    <w:multiLevelType w:val="hybridMultilevel"/>
    <w:tmpl w:val="04EE73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E858ED"/>
    <w:multiLevelType w:val="hybridMultilevel"/>
    <w:tmpl w:val="59126FAA"/>
    <w:lvl w:ilvl="0" w:tplc="524A7008">
      <w:start w:val="1"/>
      <w:numFmt w:val="decimal"/>
      <w:lvlText w:val="%1."/>
      <w:lvlJc w:val="left"/>
      <w:pPr>
        <w:ind w:left="927" w:hanging="360"/>
      </w:pPr>
      <w:rPr>
        <w:rFonts w:ascii="Times New Roman"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7172794F"/>
    <w:multiLevelType w:val="multilevel"/>
    <w:tmpl w:val="7172794F"/>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322C4"/>
    <w:multiLevelType w:val="hybridMultilevel"/>
    <w:tmpl w:val="4E7EB8FC"/>
    <w:lvl w:ilvl="0" w:tplc="65500DFE">
      <w:start w:val="1"/>
      <w:numFmt w:val="lowerLetter"/>
      <w:lvlText w:val="%1."/>
      <w:lvlJc w:val="left"/>
      <w:pPr>
        <w:ind w:left="350" w:hanging="360"/>
      </w:pPr>
    </w:lvl>
    <w:lvl w:ilvl="1" w:tplc="04210019">
      <w:start w:val="1"/>
      <w:numFmt w:val="lowerLetter"/>
      <w:lvlText w:val="%2."/>
      <w:lvlJc w:val="left"/>
      <w:pPr>
        <w:ind w:left="1070" w:hanging="360"/>
      </w:pPr>
    </w:lvl>
    <w:lvl w:ilvl="2" w:tplc="0421001B">
      <w:start w:val="1"/>
      <w:numFmt w:val="lowerRoman"/>
      <w:lvlText w:val="%3."/>
      <w:lvlJc w:val="right"/>
      <w:pPr>
        <w:ind w:left="1790" w:hanging="180"/>
      </w:pPr>
    </w:lvl>
    <w:lvl w:ilvl="3" w:tplc="0421000F">
      <w:start w:val="1"/>
      <w:numFmt w:val="decimal"/>
      <w:lvlText w:val="%4."/>
      <w:lvlJc w:val="left"/>
      <w:pPr>
        <w:ind w:left="2510" w:hanging="360"/>
      </w:pPr>
    </w:lvl>
    <w:lvl w:ilvl="4" w:tplc="04210019">
      <w:start w:val="1"/>
      <w:numFmt w:val="lowerLetter"/>
      <w:lvlText w:val="%5."/>
      <w:lvlJc w:val="left"/>
      <w:pPr>
        <w:ind w:left="3230" w:hanging="360"/>
      </w:pPr>
    </w:lvl>
    <w:lvl w:ilvl="5" w:tplc="0421001B">
      <w:start w:val="1"/>
      <w:numFmt w:val="lowerRoman"/>
      <w:lvlText w:val="%6."/>
      <w:lvlJc w:val="right"/>
      <w:pPr>
        <w:ind w:left="3950" w:hanging="180"/>
      </w:pPr>
    </w:lvl>
    <w:lvl w:ilvl="6" w:tplc="0421000F">
      <w:start w:val="1"/>
      <w:numFmt w:val="decimal"/>
      <w:lvlText w:val="%7."/>
      <w:lvlJc w:val="left"/>
      <w:pPr>
        <w:ind w:left="4670" w:hanging="360"/>
      </w:pPr>
    </w:lvl>
    <w:lvl w:ilvl="7" w:tplc="04210019">
      <w:start w:val="1"/>
      <w:numFmt w:val="lowerLetter"/>
      <w:lvlText w:val="%8."/>
      <w:lvlJc w:val="left"/>
      <w:pPr>
        <w:ind w:left="5390" w:hanging="360"/>
      </w:pPr>
    </w:lvl>
    <w:lvl w:ilvl="8" w:tplc="0421001B">
      <w:start w:val="1"/>
      <w:numFmt w:val="lowerRoman"/>
      <w:lvlText w:val="%9."/>
      <w:lvlJc w:val="right"/>
      <w:pPr>
        <w:ind w:left="6110" w:hanging="180"/>
      </w:pPr>
    </w:lvl>
  </w:abstractNum>
  <w:abstractNum w:abstractNumId="30">
    <w:nsid w:val="7DC706BC"/>
    <w:multiLevelType w:val="hybridMultilevel"/>
    <w:tmpl w:val="158E2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0"/>
  </w:num>
  <w:num w:numId="3">
    <w:abstractNumId w:val="12"/>
  </w:num>
  <w:num w:numId="4">
    <w:abstractNumId w:val="22"/>
  </w:num>
  <w:num w:numId="5">
    <w:abstractNumId w:val="25"/>
  </w:num>
  <w:num w:numId="6">
    <w:abstractNumId w:val="7"/>
  </w:num>
  <w:num w:numId="7">
    <w:abstractNumId w:val="5"/>
  </w:num>
  <w:num w:numId="8">
    <w:abstractNumId w:val="9"/>
  </w:num>
  <w:num w:numId="9">
    <w:abstractNumId w:val="28"/>
  </w:num>
  <w:num w:numId="10">
    <w:abstractNumId w:val="6"/>
  </w:num>
  <w:num w:numId="11">
    <w:abstractNumId w:val="10"/>
  </w:num>
  <w:num w:numId="12">
    <w:abstractNumId w:val="14"/>
  </w:num>
  <w:num w:numId="13">
    <w:abstractNumId w:val="1"/>
  </w:num>
  <w:num w:numId="14">
    <w:abstractNumId w:val="4"/>
  </w:num>
  <w:num w:numId="15">
    <w:abstractNumId w:val="30"/>
  </w:num>
  <w:num w:numId="16">
    <w:abstractNumId w:val="24"/>
  </w:num>
  <w:num w:numId="17">
    <w:abstractNumId w:val="27"/>
  </w:num>
  <w:num w:numId="18">
    <w:abstractNumId w:val="16"/>
  </w:num>
  <w:num w:numId="19">
    <w:abstractNumId w:val="8"/>
  </w:num>
  <w:num w:numId="20">
    <w:abstractNumId w:val="21"/>
  </w:num>
  <w:num w:numId="21">
    <w:abstractNumId w:val="21"/>
  </w:num>
  <w:num w:numId="22">
    <w:abstractNumId w:val="19"/>
  </w:num>
  <w:num w:numId="23">
    <w:abstractNumId w:val="20"/>
  </w:num>
  <w:num w:numId="24">
    <w:abstractNumId w:val="13"/>
  </w:num>
  <w:num w:numId="25">
    <w:abstractNumId w:val="17"/>
  </w:num>
  <w:num w:numId="26">
    <w:abstractNumId w:val="2"/>
  </w:num>
  <w:num w:numId="27">
    <w:abstractNumId w:val="18"/>
  </w:num>
  <w:num w:numId="28">
    <w:abstractNumId w:val="1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NDc1tLC0NDQwMTM3MTVS0lEKTi0uzszPAykwrAUA4IcfESwAAAA="/>
  </w:docVars>
  <w:rsids>
    <w:rsidRoot w:val="004D4F51"/>
    <w:rsid w:val="0000645A"/>
    <w:rsid w:val="00035348"/>
    <w:rsid w:val="00046AA6"/>
    <w:rsid w:val="00047EF3"/>
    <w:rsid w:val="00081E84"/>
    <w:rsid w:val="000A7821"/>
    <w:rsid w:val="000B0C24"/>
    <w:rsid w:val="000C6908"/>
    <w:rsid w:val="000D7085"/>
    <w:rsid w:val="000E0122"/>
    <w:rsid w:val="00117DCB"/>
    <w:rsid w:val="00127A2C"/>
    <w:rsid w:val="0014379C"/>
    <w:rsid w:val="001469E1"/>
    <w:rsid w:val="001502B5"/>
    <w:rsid w:val="00173D62"/>
    <w:rsid w:val="001A2830"/>
    <w:rsid w:val="001A5461"/>
    <w:rsid w:val="001C2712"/>
    <w:rsid w:val="001E3D24"/>
    <w:rsid w:val="002123E9"/>
    <w:rsid w:val="00213A81"/>
    <w:rsid w:val="002166E3"/>
    <w:rsid w:val="002236E1"/>
    <w:rsid w:val="002363E4"/>
    <w:rsid w:val="002567C5"/>
    <w:rsid w:val="002654E5"/>
    <w:rsid w:val="00290FC0"/>
    <w:rsid w:val="002C7023"/>
    <w:rsid w:val="002D00BE"/>
    <w:rsid w:val="002D13BA"/>
    <w:rsid w:val="002D2205"/>
    <w:rsid w:val="002D4E11"/>
    <w:rsid w:val="002D5DAE"/>
    <w:rsid w:val="002F3DA9"/>
    <w:rsid w:val="002F4428"/>
    <w:rsid w:val="003462F6"/>
    <w:rsid w:val="00357EB6"/>
    <w:rsid w:val="0038398D"/>
    <w:rsid w:val="003A0644"/>
    <w:rsid w:val="00401EBD"/>
    <w:rsid w:val="00414E40"/>
    <w:rsid w:val="00416562"/>
    <w:rsid w:val="0042264E"/>
    <w:rsid w:val="0042798F"/>
    <w:rsid w:val="00440CAC"/>
    <w:rsid w:val="00442C0F"/>
    <w:rsid w:val="004555B8"/>
    <w:rsid w:val="0046429A"/>
    <w:rsid w:val="0046624F"/>
    <w:rsid w:val="004975E0"/>
    <w:rsid w:val="004A1508"/>
    <w:rsid w:val="004B545D"/>
    <w:rsid w:val="004C4577"/>
    <w:rsid w:val="004D4F51"/>
    <w:rsid w:val="004D5949"/>
    <w:rsid w:val="004E22D6"/>
    <w:rsid w:val="00545417"/>
    <w:rsid w:val="0056196B"/>
    <w:rsid w:val="005C459E"/>
    <w:rsid w:val="005D1C4A"/>
    <w:rsid w:val="005D57AB"/>
    <w:rsid w:val="005E2A7A"/>
    <w:rsid w:val="005F44B6"/>
    <w:rsid w:val="00606633"/>
    <w:rsid w:val="006153BF"/>
    <w:rsid w:val="00616C67"/>
    <w:rsid w:val="0065735F"/>
    <w:rsid w:val="006647FD"/>
    <w:rsid w:val="006723E0"/>
    <w:rsid w:val="0068180F"/>
    <w:rsid w:val="006D3D1C"/>
    <w:rsid w:val="007228E1"/>
    <w:rsid w:val="00730264"/>
    <w:rsid w:val="00737CC6"/>
    <w:rsid w:val="0078131A"/>
    <w:rsid w:val="00781A24"/>
    <w:rsid w:val="0078234D"/>
    <w:rsid w:val="007916B8"/>
    <w:rsid w:val="00795F2A"/>
    <w:rsid w:val="007A0A92"/>
    <w:rsid w:val="007B69FD"/>
    <w:rsid w:val="007D5738"/>
    <w:rsid w:val="007F0260"/>
    <w:rsid w:val="007F3745"/>
    <w:rsid w:val="00806136"/>
    <w:rsid w:val="00820D73"/>
    <w:rsid w:val="00820D99"/>
    <w:rsid w:val="00831890"/>
    <w:rsid w:val="00856500"/>
    <w:rsid w:val="00861A15"/>
    <w:rsid w:val="0089028D"/>
    <w:rsid w:val="008A741C"/>
    <w:rsid w:val="008D51C6"/>
    <w:rsid w:val="008D7F4D"/>
    <w:rsid w:val="008E12C7"/>
    <w:rsid w:val="00902C48"/>
    <w:rsid w:val="009073FB"/>
    <w:rsid w:val="00910677"/>
    <w:rsid w:val="00963C6A"/>
    <w:rsid w:val="0097271A"/>
    <w:rsid w:val="009C16CE"/>
    <w:rsid w:val="009D3571"/>
    <w:rsid w:val="009E0850"/>
    <w:rsid w:val="009E29F8"/>
    <w:rsid w:val="00A308AE"/>
    <w:rsid w:val="00A3278F"/>
    <w:rsid w:val="00A33675"/>
    <w:rsid w:val="00A866F2"/>
    <w:rsid w:val="00AC0A1A"/>
    <w:rsid w:val="00AC6577"/>
    <w:rsid w:val="00AD20A5"/>
    <w:rsid w:val="00AE1D0F"/>
    <w:rsid w:val="00AF26E6"/>
    <w:rsid w:val="00B03435"/>
    <w:rsid w:val="00B2168D"/>
    <w:rsid w:val="00B27BA3"/>
    <w:rsid w:val="00B504E5"/>
    <w:rsid w:val="00B52AB3"/>
    <w:rsid w:val="00B71A3F"/>
    <w:rsid w:val="00B93A2D"/>
    <w:rsid w:val="00BF1F0D"/>
    <w:rsid w:val="00BF4723"/>
    <w:rsid w:val="00BF6BFC"/>
    <w:rsid w:val="00C16B5D"/>
    <w:rsid w:val="00C241C0"/>
    <w:rsid w:val="00C35480"/>
    <w:rsid w:val="00C42EF2"/>
    <w:rsid w:val="00C505AE"/>
    <w:rsid w:val="00C60505"/>
    <w:rsid w:val="00C96E24"/>
    <w:rsid w:val="00C97AA3"/>
    <w:rsid w:val="00CD41C1"/>
    <w:rsid w:val="00CF3495"/>
    <w:rsid w:val="00D142DA"/>
    <w:rsid w:val="00D15B39"/>
    <w:rsid w:val="00D630F6"/>
    <w:rsid w:val="00DA1C49"/>
    <w:rsid w:val="00DA3447"/>
    <w:rsid w:val="00DA4AEE"/>
    <w:rsid w:val="00DB1F0F"/>
    <w:rsid w:val="00DB4498"/>
    <w:rsid w:val="00DC49CF"/>
    <w:rsid w:val="00DD3461"/>
    <w:rsid w:val="00DE07A7"/>
    <w:rsid w:val="00DE20B1"/>
    <w:rsid w:val="00E03B80"/>
    <w:rsid w:val="00E1018D"/>
    <w:rsid w:val="00E101B1"/>
    <w:rsid w:val="00E37DB5"/>
    <w:rsid w:val="00E434DE"/>
    <w:rsid w:val="00E524FB"/>
    <w:rsid w:val="00E603B9"/>
    <w:rsid w:val="00E61C5C"/>
    <w:rsid w:val="00E629FB"/>
    <w:rsid w:val="00E93E1B"/>
    <w:rsid w:val="00E945F0"/>
    <w:rsid w:val="00E968EF"/>
    <w:rsid w:val="00EB1CE4"/>
    <w:rsid w:val="00ED4D79"/>
    <w:rsid w:val="00EE56C6"/>
    <w:rsid w:val="00F50EBB"/>
    <w:rsid w:val="00F779FA"/>
    <w:rsid w:val="00F935DF"/>
    <w:rsid w:val="00F97E18"/>
    <w:rsid w:val="00FC68E0"/>
    <w:rsid w:val="00FD31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F6"/>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3462F6"/>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62F6"/>
    <w:rPr>
      <w:rFonts w:ascii="Arial" w:eastAsia="SimSun" w:hAnsi="Arial" w:cs="Arial"/>
      <w:b/>
      <w:bCs/>
      <w:sz w:val="26"/>
      <w:szCs w:val="26"/>
      <w:lang w:val="en-AU" w:eastAsia="zh-CN"/>
    </w:rPr>
  </w:style>
  <w:style w:type="paragraph" w:customStyle="1" w:styleId="IEEEHeading2">
    <w:name w:val="IEEE Heading 2"/>
    <w:basedOn w:val="Normal"/>
    <w:next w:val="IEEEParagraph"/>
    <w:rsid w:val="003462F6"/>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462F6"/>
    <w:pPr>
      <w:adjustRightInd w:val="0"/>
      <w:snapToGrid w:val="0"/>
      <w:jc w:val="both"/>
    </w:pPr>
    <w:rPr>
      <w:b/>
      <w:sz w:val="18"/>
      <w:lang w:val="en-GB" w:eastAsia="en-GB"/>
    </w:rPr>
  </w:style>
  <w:style w:type="character" w:customStyle="1" w:styleId="IEEEAbtractChar">
    <w:name w:val="IEEE Abtract Char"/>
    <w:link w:val="IEEEAbtract"/>
    <w:rsid w:val="003462F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462F6"/>
    <w:pPr>
      <w:adjustRightInd w:val="0"/>
      <w:snapToGrid w:val="0"/>
      <w:ind w:firstLine="216"/>
      <w:jc w:val="both"/>
    </w:pPr>
  </w:style>
  <w:style w:type="paragraph" w:customStyle="1" w:styleId="IEEEHeading1">
    <w:name w:val="IEEE Heading 1"/>
    <w:basedOn w:val="Normal"/>
    <w:next w:val="IEEEParagraph"/>
    <w:rsid w:val="003462F6"/>
    <w:pPr>
      <w:numPr>
        <w:numId w:val="2"/>
      </w:numPr>
      <w:adjustRightInd w:val="0"/>
      <w:snapToGrid w:val="0"/>
      <w:spacing w:before="180" w:after="60"/>
      <w:ind w:left="289" w:hanging="289"/>
      <w:jc w:val="center"/>
    </w:pPr>
    <w:rPr>
      <w:smallCaps/>
      <w:sz w:val="20"/>
    </w:rPr>
  </w:style>
  <w:style w:type="table" w:styleId="TableGrid">
    <w:name w:val="Table Grid"/>
    <w:basedOn w:val="TableNormal"/>
    <w:uiPriority w:val="59"/>
    <w:rsid w:val="003462F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itle">
    <w:name w:val="IEEE Title"/>
    <w:basedOn w:val="Normal"/>
    <w:next w:val="Normal"/>
    <w:rsid w:val="003462F6"/>
    <w:pPr>
      <w:adjustRightInd w:val="0"/>
      <w:snapToGrid w:val="0"/>
      <w:jc w:val="center"/>
    </w:pPr>
    <w:rPr>
      <w:sz w:val="48"/>
    </w:rPr>
  </w:style>
  <w:style w:type="character" w:customStyle="1" w:styleId="IEEEParagraphChar">
    <w:name w:val="IEEE Paragraph Char"/>
    <w:link w:val="IEEEParagraph"/>
    <w:rsid w:val="003462F6"/>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3462F6"/>
    <w:pPr>
      <w:spacing w:before="120" w:after="120"/>
      <w:jc w:val="center"/>
    </w:pPr>
    <w:rPr>
      <w:sz w:val="16"/>
    </w:rPr>
  </w:style>
  <w:style w:type="paragraph" w:customStyle="1" w:styleId="IEEEFigure">
    <w:name w:val="IEEE Figure"/>
    <w:basedOn w:val="Normal"/>
    <w:next w:val="IEEEFigureCaptionSingle-Line"/>
    <w:rsid w:val="003462F6"/>
    <w:pPr>
      <w:jc w:val="center"/>
    </w:pPr>
  </w:style>
  <w:style w:type="paragraph" w:customStyle="1" w:styleId="IEEEReferenceItem">
    <w:name w:val="IEEE Reference Item"/>
    <w:basedOn w:val="Normal"/>
    <w:rsid w:val="003462F6"/>
    <w:pPr>
      <w:numPr>
        <w:numId w:val="3"/>
      </w:numPr>
      <w:adjustRightInd w:val="0"/>
      <w:snapToGrid w:val="0"/>
      <w:jc w:val="both"/>
    </w:pPr>
    <w:rPr>
      <w:sz w:val="16"/>
      <w:lang w:val="en-US"/>
    </w:rPr>
  </w:style>
  <w:style w:type="character" w:customStyle="1" w:styleId="shorttext">
    <w:name w:val="short_text"/>
    <w:basedOn w:val="DefaultParagraphFont"/>
    <w:rsid w:val="003462F6"/>
  </w:style>
  <w:style w:type="character" w:customStyle="1" w:styleId="longtext">
    <w:name w:val="long_text"/>
    <w:basedOn w:val="DefaultParagraphFont"/>
    <w:rsid w:val="003462F6"/>
  </w:style>
  <w:style w:type="character" w:customStyle="1" w:styleId="mediumtext">
    <w:name w:val="medium_text"/>
    <w:basedOn w:val="DefaultParagraphFont"/>
    <w:rsid w:val="003462F6"/>
  </w:style>
  <w:style w:type="character" w:styleId="Hyperlink">
    <w:name w:val="Hyperlink"/>
    <w:rsid w:val="003462F6"/>
    <w:rPr>
      <w:color w:val="0000FF"/>
      <w:u w:val="single"/>
    </w:rPr>
  </w:style>
  <w:style w:type="paragraph" w:styleId="FootnoteText">
    <w:name w:val="footnote text"/>
    <w:basedOn w:val="Normal"/>
    <w:link w:val="FootnoteTextChar"/>
    <w:uiPriority w:val="99"/>
    <w:rsid w:val="003462F6"/>
    <w:pPr>
      <w:autoSpaceDE w:val="0"/>
      <w:autoSpaceDN w:val="0"/>
      <w:ind w:firstLine="202"/>
      <w:jc w:val="both"/>
    </w:pPr>
    <w:rPr>
      <w:rFonts w:eastAsia="Times New Roman"/>
      <w:sz w:val="16"/>
      <w:szCs w:val="16"/>
    </w:rPr>
  </w:style>
  <w:style w:type="character" w:customStyle="1" w:styleId="FootnoteTextChar">
    <w:name w:val="Footnote Text Char"/>
    <w:basedOn w:val="DefaultParagraphFont"/>
    <w:link w:val="FootnoteText"/>
    <w:uiPriority w:val="99"/>
    <w:rsid w:val="003462F6"/>
    <w:rPr>
      <w:rFonts w:ascii="Times New Roman" w:eastAsia="Times New Roman" w:hAnsi="Times New Roman" w:cs="Times New Roman"/>
      <w:sz w:val="16"/>
      <w:szCs w:val="16"/>
      <w:lang w:val="en-AU" w:eastAsia="zh-CN"/>
    </w:rPr>
  </w:style>
  <w:style w:type="paragraph" w:styleId="Footer">
    <w:name w:val="footer"/>
    <w:basedOn w:val="Normal"/>
    <w:link w:val="FooterChar"/>
    <w:uiPriority w:val="99"/>
    <w:rsid w:val="003462F6"/>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462F6"/>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462F6"/>
    <w:pPr>
      <w:tabs>
        <w:tab w:val="center" w:pos="4680"/>
        <w:tab w:val="right" w:pos="9360"/>
      </w:tabs>
    </w:pPr>
  </w:style>
  <w:style w:type="character" w:customStyle="1" w:styleId="HeaderChar">
    <w:name w:val="Header Char"/>
    <w:basedOn w:val="DefaultParagraphFont"/>
    <w:link w:val="Header"/>
    <w:uiPriority w:val="99"/>
    <w:rsid w:val="003462F6"/>
    <w:rPr>
      <w:rFonts w:ascii="Times New Roman" w:eastAsia="SimSun" w:hAnsi="Times New Roman" w:cs="Times New Roman"/>
      <w:sz w:val="24"/>
      <w:szCs w:val="24"/>
      <w:lang w:val="en-AU" w:eastAsia="zh-CN"/>
    </w:rPr>
  </w:style>
  <w:style w:type="paragraph" w:styleId="ListParagraph">
    <w:name w:val="List Paragraph"/>
    <w:aliases w:val="Body of text,List Paragraph1"/>
    <w:basedOn w:val="Normal"/>
    <w:link w:val="ListParagraphChar"/>
    <w:uiPriority w:val="34"/>
    <w:qFormat/>
    <w:rsid w:val="003462F6"/>
    <w:pPr>
      <w:ind w:left="720"/>
    </w:pPr>
  </w:style>
  <w:style w:type="paragraph" w:customStyle="1" w:styleId="Abstract">
    <w:name w:val="Abstract"/>
    <w:basedOn w:val="Normal"/>
    <w:next w:val="Normal"/>
    <w:rsid w:val="003462F6"/>
    <w:pPr>
      <w:autoSpaceDE w:val="0"/>
      <w:autoSpaceDN w:val="0"/>
      <w:spacing w:before="20"/>
      <w:ind w:firstLine="202"/>
      <w:jc w:val="both"/>
    </w:pPr>
    <w:rPr>
      <w:rFonts w:eastAsia="Times New Roman"/>
      <w:b/>
      <w:bCs/>
      <w:sz w:val="18"/>
      <w:szCs w:val="18"/>
      <w:lang w:val="en-US" w:eastAsia="en-US"/>
    </w:rPr>
  </w:style>
  <w:style w:type="character" w:customStyle="1" w:styleId="apple-converted-space">
    <w:name w:val="apple-converted-space"/>
    <w:basedOn w:val="DefaultParagraphFont"/>
    <w:rsid w:val="003462F6"/>
  </w:style>
  <w:style w:type="paragraph" w:styleId="HTMLPreformatted">
    <w:name w:val="HTML Preformatted"/>
    <w:basedOn w:val="Normal"/>
    <w:link w:val="HTMLPreformattedChar"/>
    <w:uiPriority w:val="99"/>
    <w:unhideWhenUsed/>
    <w:rsid w:val="0034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uiPriority w:val="99"/>
    <w:rsid w:val="003462F6"/>
    <w:rPr>
      <w:rFonts w:ascii="Courier New" w:eastAsia="Times New Roman" w:hAnsi="Courier New" w:cs="Times New Roman"/>
      <w:sz w:val="20"/>
      <w:szCs w:val="20"/>
    </w:rPr>
  </w:style>
  <w:style w:type="character" w:styleId="Emphasis">
    <w:name w:val="Emphasis"/>
    <w:basedOn w:val="DefaultParagraphFont"/>
    <w:uiPriority w:val="20"/>
    <w:qFormat/>
    <w:rsid w:val="003462F6"/>
    <w:rPr>
      <w:i/>
      <w:iCs/>
    </w:rPr>
  </w:style>
  <w:style w:type="character" w:styleId="FootnoteReference">
    <w:name w:val="footnote reference"/>
    <w:uiPriority w:val="99"/>
    <w:unhideWhenUsed/>
    <w:qFormat/>
    <w:rsid w:val="003462F6"/>
    <w:rPr>
      <w:vertAlign w:val="superscript"/>
    </w:rPr>
  </w:style>
  <w:style w:type="paragraph" w:customStyle="1" w:styleId="ListParagraph2">
    <w:name w:val="List Paragraph2"/>
    <w:basedOn w:val="Normal"/>
    <w:uiPriority w:val="34"/>
    <w:qFormat/>
    <w:rsid w:val="003462F6"/>
    <w:pPr>
      <w:spacing w:before="100" w:beforeAutospacing="1" w:after="100" w:afterAutospacing="1" w:line="288" w:lineRule="auto"/>
      <w:contextualSpacing/>
    </w:pPr>
    <w:rPr>
      <w:rFonts w:ascii="Calibri" w:hAnsi="Calibri"/>
      <w:lang w:val="id-ID" w:eastAsia="id-ID"/>
    </w:rPr>
  </w:style>
  <w:style w:type="character" w:customStyle="1" w:styleId="UnresolvedMention1">
    <w:name w:val="Unresolved Mention1"/>
    <w:basedOn w:val="DefaultParagraphFont"/>
    <w:uiPriority w:val="99"/>
    <w:semiHidden/>
    <w:unhideWhenUsed/>
    <w:rsid w:val="00213A81"/>
    <w:rPr>
      <w:color w:val="808080"/>
      <w:shd w:val="clear" w:color="auto" w:fill="E6E6E6"/>
    </w:rPr>
  </w:style>
  <w:style w:type="paragraph" w:styleId="BalloonText">
    <w:name w:val="Balloon Text"/>
    <w:basedOn w:val="Normal"/>
    <w:link w:val="BalloonTextChar"/>
    <w:uiPriority w:val="99"/>
    <w:semiHidden/>
    <w:unhideWhenUsed/>
    <w:rsid w:val="004D4F51"/>
    <w:rPr>
      <w:rFonts w:ascii="Tahoma" w:hAnsi="Tahoma" w:cs="Tahoma"/>
      <w:sz w:val="16"/>
      <w:szCs w:val="16"/>
    </w:rPr>
  </w:style>
  <w:style w:type="character" w:customStyle="1" w:styleId="BalloonTextChar">
    <w:name w:val="Balloon Text Char"/>
    <w:basedOn w:val="DefaultParagraphFont"/>
    <w:link w:val="BalloonText"/>
    <w:uiPriority w:val="99"/>
    <w:semiHidden/>
    <w:rsid w:val="004D4F51"/>
    <w:rPr>
      <w:rFonts w:ascii="Tahoma" w:eastAsia="SimSun" w:hAnsi="Tahoma" w:cs="Tahoma"/>
      <w:sz w:val="16"/>
      <w:szCs w:val="16"/>
      <w:lang w:val="en-AU" w:eastAsia="zh-CN"/>
    </w:rPr>
  </w:style>
  <w:style w:type="character" w:customStyle="1" w:styleId="ListParagraphChar">
    <w:name w:val="List Paragraph Char"/>
    <w:aliases w:val="Body of text Char,List Paragraph1 Char"/>
    <w:link w:val="ListParagraph"/>
    <w:uiPriority w:val="34"/>
    <w:locked/>
    <w:rsid w:val="002D13BA"/>
    <w:rPr>
      <w:rFonts w:ascii="Times New Roman" w:eastAsia="SimSun" w:hAnsi="Times New Roman" w:cs="Times New Roman"/>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6539">
      <w:bodyDiv w:val="1"/>
      <w:marLeft w:val="0"/>
      <w:marRight w:val="0"/>
      <w:marTop w:val="0"/>
      <w:marBottom w:val="0"/>
      <w:divBdr>
        <w:top w:val="none" w:sz="0" w:space="0" w:color="auto"/>
        <w:left w:val="none" w:sz="0" w:space="0" w:color="auto"/>
        <w:bottom w:val="none" w:sz="0" w:space="0" w:color="auto"/>
        <w:right w:val="none" w:sz="0" w:space="0" w:color="auto"/>
      </w:divBdr>
    </w:div>
    <w:div w:id="271328328">
      <w:bodyDiv w:val="1"/>
      <w:marLeft w:val="0"/>
      <w:marRight w:val="0"/>
      <w:marTop w:val="0"/>
      <w:marBottom w:val="0"/>
      <w:divBdr>
        <w:top w:val="none" w:sz="0" w:space="0" w:color="auto"/>
        <w:left w:val="none" w:sz="0" w:space="0" w:color="auto"/>
        <w:bottom w:val="none" w:sz="0" w:space="0" w:color="auto"/>
        <w:right w:val="none" w:sz="0" w:space="0" w:color="auto"/>
      </w:divBdr>
    </w:div>
    <w:div w:id="359480379">
      <w:bodyDiv w:val="1"/>
      <w:marLeft w:val="0"/>
      <w:marRight w:val="0"/>
      <w:marTop w:val="0"/>
      <w:marBottom w:val="0"/>
      <w:divBdr>
        <w:top w:val="none" w:sz="0" w:space="0" w:color="auto"/>
        <w:left w:val="none" w:sz="0" w:space="0" w:color="auto"/>
        <w:bottom w:val="none" w:sz="0" w:space="0" w:color="auto"/>
        <w:right w:val="none" w:sz="0" w:space="0" w:color="auto"/>
      </w:divBdr>
    </w:div>
    <w:div w:id="396052954">
      <w:bodyDiv w:val="1"/>
      <w:marLeft w:val="0"/>
      <w:marRight w:val="0"/>
      <w:marTop w:val="0"/>
      <w:marBottom w:val="0"/>
      <w:divBdr>
        <w:top w:val="none" w:sz="0" w:space="0" w:color="auto"/>
        <w:left w:val="none" w:sz="0" w:space="0" w:color="auto"/>
        <w:bottom w:val="none" w:sz="0" w:space="0" w:color="auto"/>
        <w:right w:val="none" w:sz="0" w:space="0" w:color="auto"/>
      </w:divBdr>
    </w:div>
    <w:div w:id="574704057">
      <w:bodyDiv w:val="1"/>
      <w:marLeft w:val="0"/>
      <w:marRight w:val="0"/>
      <w:marTop w:val="0"/>
      <w:marBottom w:val="0"/>
      <w:divBdr>
        <w:top w:val="none" w:sz="0" w:space="0" w:color="auto"/>
        <w:left w:val="none" w:sz="0" w:space="0" w:color="auto"/>
        <w:bottom w:val="none" w:sz="0" w:space="0" w:color="auto"/>
        <w:right w:val="none" w:sz="0" w:space="0" w:color="auto"/>
      </w:divBdr>
    </w:div>
    <w:div w:id="688414764">
      <w:bodyDiv w:val="1"/>
      <w:marLeft w:val="0"/>
      <w:marRight w:val="0"/>
      <w:marTop w:val="0"/>
      <w:marBottom w:val="0"/>
      <w:divBdr>
        <w:top w:val="none" w:sz="0" w:space="0" w:color="auto"/>
        <w:left w:val="none" w:sz="0" w:space="0" w:color="auto"/>
        <w:bottom w:val="none" w:sz="0" w:space="0" w:color="auto"/>
        <w:right w:val="none" w:sz="0" w:space="0" w:color="auto"/>
      </w:divBdr>
    </w:div>
    <w:div w:id="801339924">
      <w:bodyDiv w:val="1"/>
      <w:marLeft w:val="0"/>
      <w:marRight w:val="0"/>
      <w:marTop w:val="0"/>
      <w:marBottom w:val="0"/>
      <w:divBdr>
        <w:top w:val="none" w:sz="0" w:space="0" w:color="auto"/>
        <w:left w:val="none" w:sz="0" w:space="0" w:color="auto"/>
        <w:bottom w:val="none" w:sz="0" w:space="0" w:color="auto"/>
        <w:right w:val="none" w:sz="0" w:space="0" w:color="auto"/>
      </w:divBdr>
    </w:div>
    <w:div w:id="823208130">
      <w:bodyDiv w:val="1"/>
      <w:marLeft w:val="0"/>
      <w:marRight w:val="0"/>
      <w:marTop w:val="0"/>
      <w:marBottom w:val="0"/>
      <w:divBdr>
        <w:top w:val="none" w:sz="0" w:space="0" w:color="auto"/>
        <w:left w:val="none" w:sz="0" w:space="0" w:color="auto"/>
        <w:bottom w:val="none" w:sz="0" w:space="0" w:color="auto"/>
        <w:right w:val="none" w:sz="0" w:space="0" w:color="auto"/>
      </w:divBdr>
    </w:div>
    <w:div w:id="1065176646">
      <w:bodyDiv w:val="1"/>
      <w:marLeft w:val="0"/>
      <w:marRight w:val="0"/>
      <w:marTop w:val="0"/>
      <w:marBottom w:val="0"/>
      <w:divBdr>
        <w:top w:val="none" w:sz="0" w:space="0" w:color="auto"/>
        <w:left w:val="none" w:sz="0" w:space="0" w:color="auto"/>
        <w:bottom w:val="none" w:sz="0" w:space="0" w:color="auto"/>
        <w:right w:val="none" w:sz="0" w:space="0" w:color="auto"/>
      </w:divBdr>
    </w:div>
    <w:div w:id="1312103869">
      <w:bodyDiv w:val="1"/>
      <w:marLeft w:val="0"/>
      <w:marRight w:val="0"/>
      <w:marTop w:val="0"/>
      <w:marBottom w:val="0"/>
      <w:divBdr>
        <w:top w:val="none" w:sz="0" w:space="0" w:color="auto"/>
        <w:left w:val="none" w:sz="0" w:space="0" w:color="auto"/>
        <w:bottom w:val="none" w:sz="0" w:space="0" w:color="auto"/>
        <w:right w:val="none" w:sz="0" w:space="0" w:color="auto"/>
      </w:divBdr>
    </w:div>
    <w:div w:id="1470853764">
      <w:bodyDiv w:val="1"/>
      <w:marLeft w:val="0"/>
      <w:marRight w:val="0"/>
      <w:marTop w:val="0"/>
      <w:marBottom w:val="0"/>
      <w:divBdr>
        <w:top w:val="none" w:sz="0" w:space="0" w:color="auto"/>
        <w:left w:val="none" w:sz="0" w:space="0" w:color="auto"/>
        <w:bottom w:val="none" w:sz="0" w:space="0" w:color="auto"/>
        <w:right w:val="none" w:sz="0" w:space="0" w:color="auto"/>
      </w:divBdr>
    </w:div>
    <w:div w:id="1773355506">
      <w:bodyDiv w:val="1"/>
      <w:marLeft w:val="0"/>
      <w:marRight w:val="0"/>
      <w:marTop w:val="0"/>
      <w:marBottom w:val="0"/>
      <w:divBdr>
        <w:top w:val="none" w:sz="0" w:space="0" w:color="auto"/>
        <w:left w:val="none" w:sz="0" w:space="0" w:color="auto"/>
        <w:bottom w:val="none" w:sz="0" w:space="0" w:color="auto"/>
        <w:right w:val="none" w:sz="0" w:space="0" w:color="auto"/>
      </w:divBdr>
    </w:div>
    <w:div w:id="1825900266">
      <w:bodyDiv w:val="1"/>
      <w:marLeft w:val="0"/>
      <w:marRight w:val="0"/>
      <w:marTop w:val="0"/>
      <w:marBottom w:val="0"/>
      <w:divBdr>
        <w:top w:val="none" w:sz="0" w:space="0" w:color="auto"/>
        <w:left w:val="none" w:sz="0" w:space="0" w:color="auto"/>
        <w:bottom w:val="none" w:sz="0" w:space="0" w:color="auto"/>
        <w:right w:val="none" w:sz="0" w:space="0" w:color="auto"/>
      </w:divBdr>
    </w:div>
    <w:div w:id="1860730447">
      <w:bodyDiv w:val="1"/>
      <w:marLeft w:val="0"/>
      <w:marRight w:val="0"/>
      <w:marTop w:val="0"/>
      <w:marBottom w:val="0"/>
      <w:divBdr>
        <w:top w:val="none" w:sz="0" w:space="0" w:color="auto"/>
        <w:left w:val="none" w:sz="0" w:space="0" w:color="auto"/>
        <w:bottom w:val="none" w:sz="0" w:space="0" w:color="auto"/>
        <w:right w:val="none" w:sz="0" w:space="0" w:color="auto"/>
      </w:divBdr>
    </w:div>
    <w:div w:id="1936982460">
      <w:bodyDiv w:val="1"/>
      <w:marLeft w:val="0"/>
      <w:marRight w:val="0"/>
      <w:marTop w:val="0"/>
      <w:marBottom w:val="0"/>
      <w:divBdr>
        <w:top w:val="none" w:sz="0" w:space="0" w:color="auto"/>
        <w:left w:val="none" w:sz="0" w:space="0" w:color="auto"/>
        <w:bottom w:val="none" w:sz="0" w:space="0" w:color="auto"/>
        <w:right w:val="none" w:sz="0" w:space="0" w:color="auto"/>
      </w:divBdr>
    </w:div>
    <w:div w:id="1965651290">
      <w:bodyDiv w:val="1"/>
      <w:marLeft w:val="0"/>
      <w:marRight w:val="0"/>
      <w:marTop w:val="0"/>
      <w:marBottom w:val="0"/>
      <w:divBdr>
        <w:top w:val="none" w:sz="0" w:space="0" w:color="auto"/>
        <w:left w:val="none" w:sz="0" w:space="0" w:color="auto"/>
        <w:bottom w:val="none" w:sz="0" w:space="0" w:color="auto"/>
        <w:right w:val="none" w:sz="0" w:space="0" w:color="auto"/>
      </w:divBdr>
    </w:div>
    <w:div w:id="21110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rusdianrifai@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OJS%20The%20Series\5.%20OJS%2001.12.2017\Nur%20Malasari%20dan%20Arif%20Rahman%20Hak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5895-BFC5-4050-B9A6-8B37C9AF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Nur Malasari dan Arif Rahman Hakim</Template>
  <TotalTime>64</TotalTime>
  <Pages>7</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Template Artikel Ilmiah</vt:lpstr>
    </vt:vector>
  </TitlesOfParts>
  <Company>Toshiba</Company>
  <LinksUpToDate>false</LinksUpToDate>
  <CharactersWithSpaces>21741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Ilmiah</dc:title>
  <dc:creator>JKPM (Jurnal Kajian Pendidikan Matematika)</dc:creator>
  <cp:keywords>JKPM (Jurnal Kajian Pendidikan Matematika)</cp:keywords>
  <cp:lastModifiedBy>RIFAI</cp:lastModifiedBy>
  <cp:revision>13</cp:revision>
  <dcterms:created xsi:type="dcterms:W3CDTF">2019-11-23T08:13:00Z</dcterms:created>
  <dcterms:modified xsi:type="dcterms:W3CDTF">2019-12-05T06:14:00Z</dcterms:modified>
</cp:coreProperties>
</file>