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BBC10" w14:textId="77777777" w:rsidR="00195700" w:rsidRPr="00195700" w:rsidRDefault="00195700" w:rsidP="00195700">
      <w:pPr>
        <w:ind w:firstLine="0"/>
        <w:rPr>
          <w:rFonts w:cs="Times New Roman"/>
          <w:b/>
          <w:bCs/>
          <w:sz w:val="28"/>
          <w:szCs w:val="28"/>
        </w:rPr>
      </w:pPr>
      <w:bookmarkStart w:id="0" w:name="_Hlk64237047"/>
      <w:r w:rsidRPr="00195700">
        <w:rPr>
          <w:rFonts w:cs="Times New Roman"/>
          <w:b/>
          <w:bCs/>
          <w:sz w:val="28"/>
          <w:szCs w:val="28"/>
        </w:rPr>
        <w:t>Persepsi Milenial Terhadap Kelestarian Lingkungan Dalam Proposisi Bahasa Indonesia Berbasis Pengelolaan Sampah</w:t>
      </w:r>
    </w:p>
    <w:p w14:paraId="4307B3AC" w14:textId="6950D762" w:rsidR="00195700" w:rsidRDefault="00195700" w:rsidP="00742DA3">
      <w:pPr>
        <w:ind w:left="0" w:firstLine="0"/>
        <w:rPr>
          <w:i/>
          <w:lang w:val="en-US"/>
        </w:rPr>
      </w:pPr>
    </w:p>
    <w:bookmarkEnd w:id="0"/>
    <w:p w14:paraId="1161A057" w14:textId="77777777" w:rsidR="00195700" w:rsidRDefault="00195700" w:rsidP="00742DA3">
      <w:pPr>
        <w:ind w:left="0" w:firstLine="0"/>
        <w:rPr>
          <w:i/>
          <w:lang w:val="en-US"/>
        </w:rPr>
      </w:pPr>
    </w:p>
    <w:p w14:paraId="2B8E1458" w14:textId="1984A95A" w:rsidR="00742DA3" w:rsidRPr="00195700" w:rsidRDefault="00742DA3" w:rsidP="00742DA3">
      <w:pPr>
        <w:ind w:left="0" w:firstLine="0"/>
        <w:rPr>
          <w:rFonts w:cs="Times New Roman"/>
          <w:vertAlign w:val="superscript"/>
          <w:lang w:val="en-US"/>
        </w:rPr>
      </w:pPr>
      <w:r w:rsidRPr="00195700">
        <w:rPr>
          <w:rFonts w:cs="Times New Roman"/>
        </w:rPr>
        <w:t>Khirjan Nahdi</w:t>
      </w:r>
      <w:r w:rsidRPr="00195700">
        <w:rPr>
          <w:rFonts w:cs="Times New Roman"/>
          <w:vertAlign w:val="superscript"/>
          <w:lang w:val="en-US"/>
        </w:rPr>
        <w:t>1</w:t>
      </w:r>
      <w:r w:rsidRPr="00195700">
        <w:rPr>
          <w:rFonts w:cs="Times New Roman"/>
          <w:lang w:val="en-US"/>
        </w:rPr>
        <w:t xml:space="preserve">, </w:t>
      </w:r>
      <w:r w:rsidRPr="00195700">
        <w:rPr>
          <w:rFonts w:cs="Times New Roman"/>
        </w:rPr>
        <w:t>Muh. Marzuki</w:t>
      </w:r>
      <w:r w:rsidRPr="00195700">
        <w:rPr>
          <w:rFonts w:cs="Times New Roman"/>
          <w:vertAlign w:val="superscript"/>
          <w:lang w:val="en-US"/>
        </w:rPr>
        <w:t>2(*)</w:t>
      </w:r>
      <w:r w:rsidRPr="00195700">
        <w:rPr>
          <w:rFonts w:cs="Times New Roman"/>
          <w:lang w:val="en-US"/>
        </w:rPr>
        <w:t xml:space="preserve">, </w:t>
      </w:r>
      <w:r w:rsidRPr="00195700">
        <w:rPr>
          <w:rFonts w:cs="Times New Roman"/>
        </w:rPr>
        <w:t>Samsul Lutfi</w:t>
      </w:r>
      <w:r w:rsidR="00195700" w:rsidRPr="00195700">
        <w:rPr>
          <w:rFonts w:cs="Times New Roman"/>
          <w:vertAlign w:val="superscript"/>
          <w:lang w:val="en-US"/>
        </w:rPr>
        <w:t>3</w:t>
      </w:r>
      <w:r w:rsidRPr="00195700">
        <w:rPr>
          <w:rFonts w:cs="Times New Roman"/>
          <w:lang w:val="en-US"/>
        </w:rPr>
        <w:t>, S</w:t>
      </w:r>
      <w:r w:rsidRPr="00195700">
        <w:rPr>
          <w:rFonts w:cs="Times New Roman"/>
        </w:rPr>
        <w:t>andy Ramdhani</w:t>
      </w:r>
      <w:r w:rsidR="00195700" w:rsidRPr="00195700">
        <w:rPr>
          <w:rFonts w:cs="Times New Roman"/>
          <w:vertAlign w:val="superscript"/>
          <w:lang w:val="en-US"/>
        </w:rPr>
        <w:t>4</w:t>
      </w:r>
      <w:r w:rsidRPr="00195700">
        <w:rPr>
          <w:rFonts w:cs="Times New Roman"/>
          <w:lang w:val="en-US"/>
        </w:rPr>
        <w:t xml:space="preserve">, </w:t>
      </w:r>
      <w:r w:rsidRPr="00195700">
        <w:rPr>
          <w:rFonts w:cs="Times New Roman"/>
        </w:rPr>
        <w:t>Herman Wijaya</w:t>
      </w:r>
      <w:r w:rsidR="00195700" w:rsidRPr="00195700">
        <w:rPr>
          <w:rFonts w:cs="Times New Roman"/>
          <w:vertAlign w:val="superscript"/>
          <w:lang w:val="en-US"/>
        </w:rPr>
        <w:t>5</w:t>
      </w:r>
    </w:p>
    <w:p w14:paraId="52F81F45" w14:textId="35B988A4" w:rsidR="002A6CAC" w:rsidRPr="00195700" w:rsidRDefault="00195700" w:rsidP="002A6CAC">
      <w:pPr>
        <w:ind w:left="0" w:firstLine="0"/>
        <w:jc w:val="center"/>
        <w:rPr>
          <w:rFonts w:eastAsia="Times New Roman" w:cs="Times New Roman"/>
          <w:vertAlign w:val="superscript"/>
          <w:lang w:val="en-US"/>
        </w:rPr>
      </w:pPr>
      <w:r>
        <w:rPr>
          <w:rFonts w:eastAsia="Times New Roman" w:cs="Times New Roman"/>
          <w:vertAlign w:val="superscript"/>
          <w:lang w:val="en-US"/>
        </w:rPr>
        <w:t>1,2,3,4,5</w:t>
      </w:r>
      <w:r w:rsidRPr="00195700">
        <w:rPr>
          <w:rFonts w:eastAsia="Times New Roman" w:cs="Times New Roman"/>
          <w:lang w:val="en-US"/>
        </w:rPr>
        <w:t xml:space="preserve">Universitas </w:t>
      </w:r>
      <w:proofErr w:type="spellStart"/>
      <w:r w:rsidRPr="00195700">
        <w:rPr>
          <w:rFonts w:eastAsia="Times New Roman" w:cs="Times New Roman"/>
          <w:lang w:val="en-US"/>
        </w:rPr>
        <w:t>Hamzanwadi</w:t>
      </w:r>
      <w:proofErr w:type="spellEnd"/>
      <w:r w:rsidRPr="00195700">
        <w:rPr>
          <w:rFonts w:eastAsia="Times New Roman" w:cs="Times New Roman"/>
          <w:lang w:val="en-US"/>
        </w:rPr>
        <w:t>, Indonesia</w:t>
      </w:r>
    </w:p>
    <w:p w14:paraId="2D339E76" w14:textId="530245CD" w:rsidR="00195700" w:rsidRPr="002C545D" w:rsidRDefault="002C545D" w:rsidP="002C545D">
      <w:pPr>
        <w:ind w:left="0" w:firstLine="0"/>
        <w:jc w:val="center"/>
        <w:rPr>
          <w:rFonts w:ascii="Garamond" w:hAnsi="Garamond" w:cs="Times New Roman"/>
          <w:sz w:val="24"/>
          <w:szCs w:val="24"/>
          <w:lang w:val="en-US"/>
        </w:rPr>
      </w:pPr>
      <w:hyperlink r:id="rId6" w:history="1">
        <w:r w:rsidRPr="002C545D">
          <w:rPr>
            <w:rStyle w:val="Hyperlink"/>
            <w:rFonts w:ascii="Garamond" w:hAnsi="Garamond" w:cs="Times New Roman"/>
            <w:sz w:val="24"/>
            <w:szCs w:val="24"/>
            <w:u w:val="none"/>
          </w:rPr>
          <w:t>khirjan.nw@gmail.com</w:t>
        </w:r>
      </w:hyperlink>
      <w:r w:rsidR="00195700" w:rsidRPr="002C545D">
        <w:rPr>
          <w:rStyle w:val="Hyperlink"/>
          <w:rFonts w:ascii="Garamond" w:hAnsi="Garamond" w:cs="Times New Roman"/>
          <w:sz w:val="24"/>
          <w:szCs w:val="24"/>
          <w:u w:val="none"/>
          <w:lang w:val="en-US"/>
        </w:rPr>
        <w:t xml:space="preserve">, </w:t>
      </w:r>
      <w:r w:rsidRPr="002C545D">
        <w:rPr>
          <w:rStyle w:val="Hyperlink"/>
          <w:rFonts w:ascii="Garamond" w:hAnsi="Garamond" w:cs="Times New Roman"/>
          <w:sz w:val="24"/>
          <w:szCs w:val="24"/>
          <w:u w:val="none"/>
          <w:lang w:val="en-US"/>
        </w:rPr>
        <w:t>w</w:t>
      </w:r>
      <w:r w:rsidR="00195700" w:rsidRPr="002C545D">
        <w:rPr>
          <w:rStyle w:val="Hyperlink"/>
          <w:rFonts w:ascii="Garamond" w:hAnsi="Garamond" w:cs="Times New Roman"/>
          <w:sz w:val="24"/>
          <w:szCs w:val="24"/>
          <w:u w:val="none"/>
          <w:lang w:val="en-US"/>
        </w:rPr>
        <w:t>ijaya_herman33@hamzanwadi.ac.id</w:t>
      </w:r>
    </w:p>
    <w:p w14:paraId="181FFC74" w14:textId="45D0ABB5" w:rsidR="002A6CAC" w:rsidRDefault="002A6CAC" w:rsidP="002A6CAC">
      <w:pPr>
        <w:ind w:left="0" w:firstLine="0"/>
        <w:jc w:val="center"/>
        <w:rPr>
          <w:i/>
        </w:rPr>
      </w:pPr>
    </w:p>
    <w:p w14:paraId="7158269A" w14:textId="77777777" w:rsidR="00195700" w:rsidRPr="00764C40" w:rsidRDefault="00195700" w:rsidP="002A6CAC">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28"/>
        <w:gridCol w:w="5450"/>
      </w:tblGrid>
      <w:tr w:rsidR="002A6CAC" w14:paraId="271782FE" w14:textId="77777777" w:rsidTr="00504F93">
        <w:tc>
          <w:tcPr>
            <w:tcW w:w="2410" w:type="dxa"/>
            <w:gridSpan w:val="2"/>
          </w:tcPr>
          <w:p w14:paraId="1E249F85" w14:textId="77777777" w:rsidR="002A6CAC" w:rsidRPr="003F7CBE" w:rsidRDefault="002A6CAC" w:rsidP="00504F93">
            <w:pPr>
              <w:ind w:left="-108" w:firstLine="0"/>
              <w:jc w:val="left"/>
              <w:rPr>
                <w:sz w:val="18"/>
              </w:rPr>
            </w:pPr>
          </w:p>
        </w:tc>
        <w:tc>
          <w:tcPr>
            <w:tcW w:w="5528" w:type="dxa"/>
          </w:tcPr>
          <w:p w14:paraId="7E087FB0" w14:textId="77777777" w:rsidR="002A6CAC" w:rsidRPr="003F7CBE" w:rsidRDefault="002A6CAC" w:rsidP="00504F93">
            <w:pPr>
              <w:ind w:left="-108" w:firstLine="0"/>
              <w:rPr>
                <w:b/>
                <w:sz w:val="18"/>
              </w:rPr>
            </w:pPr>
            <w:r w:rsidRPr="003F7CBE">
              <w:rPr>
                <w:b/>
                <w:sz w:val="18"/>
              </w:rPr>
              <w:t>Abstract</w:t>
            </w:r>
          </w:p>
        </w:tc>
      </w:tr>
      <w:tr w:rsidR="002A6CAC" w:rsidRPr="002A6CAC" w14:paraId="68547F64" w14:textId="77777777" w:rsidTr="00504F93">
        <w:tc>
          <w:tcPr>
            <w:tcW w:w="851" w:type="dxa"/>
          </w:tcPr>
          <w:p w14:paraId="4C090E15" w14:textId="77777777" w:rsidR="002A6CAC" w:rsidRDefault="002A6CAC" w:rsidP="00504F93">
            <w:pPr>
              <w:ind w:left="-108" w:firstLine="0"/>
              <w:jc w:val="left"/>
              <w:rPr>
                <w:sz w:val="18"/>
              </w:rPr>
            </w:pPr>
            <w:r>
              <w:rPr>
                <w:sz w:val="18"/>
              </w:rPr>
              <w:t>Received:</w:t>
            </w:r>
          </w:p>
          <w:p w14:paraId="126E243B" w14:textId="77777777" w:rsidR="002A6CAC" w:rsidRDefault="002A6CAC" w:rsidP="00504F93">
            <w:pPr>
              <w:ind w:left="-108" w:firstLine="0"/>
              <w:jc w:val="left"/>
              <w:rPr>
                <w:sz w:val="18"/>
              </w:rPr>
            </w:pPr>
            <w:r>
              <w:rPr>
                <w:sz w:val="18"/>
              </w:rPr>
              <w:t>Revised:</w:t>
            </w:r>
          </w:p>
          <w:p w14:paraId="2670B4CA" w14:textId="77777777" w:rsidR="002A6CAC" w:rsidRPr="003F7CBE" w:rsidRDefault="002A6CAC" w:rsidP="00504F93">
            <w:pPr>
              <w:ind w:left="-108" w:firstLine="0"/>
              <w:jc w:val="left"/>
              <w:rPr>
                <w:sz w:val="18"/>
              </w:rPr>
            </w:pPr>
            <w:r>
              <w:rPr>
                <w:sz w:val="18"/>
              </w:rPr>
              <w:t>Accepted:</w:t>
            </w:r>
          </w:p>
        </w:tc>
        <w:tc>
          <w:tcPr>
            <w:tcW w:w="1559" w:type="dxa"/>
          </w:tcPr>
          <w:p w14:paraId="4CD47C8E" w14:textId="77777777" w:rsidR="002A6CAC" w:rsidRDefault="002A6CAC" w:rsidP="00504F93">
            <w:pPr>
              <w:ind w:left="-108" w:firstLine="0"/>
              <w:jc w:val="left"/>
              <w:rPr>
                <w:sz w:val="18"/>
              </w:rPr>
            </w:pPr>
          </w:p>
          <w:p w14:paraId="0EBB1EE4" w14:textId="77777777" w:rsidR="002A6CAC" w:rsidRDefault="002A6CAC" w:rsidP="00504F93">
            <w:pPr>
              <w:ind w:left="-108" w:firstLine="0"/>
              <w:jc w:val="left"/>
              <w:rPr>
                <w:sz w:val="18"/>
              </w:rPr>
            </w:pPr>
          </w:p>
          <w:p w14:paraId="3B9CD95C" w14:textId="77777777" w:rsidR="002A6CAC" w:rsidRPr="003F7CBE" w:rsidRDefault="002A6CAC" w:rsidP="00504F93">
            <w:pPr>
              <w:ind w:left="-108" w:firstLine="0"/>
              <w:jc w:val="left"/>
              <w:rPr>
                <w:sz w:val="18"/>
              </w:rPr>
            </w:pPr>
          </w:p>
        </w:tc>
        <w:tc>
          <w:tcPr>
            <w:tcW w:w="5528" w:type="dxa"/>
          </w:tcPr>
          <w:p w14:paraId="0B4B71AC" w14:textId="17E2AD0D" w:rsidR="002A6CAC" w:rsidRPr="002A6CAC" w:rsidRDefault="002A6CAC" w:rsidP="002A6CAC">
            <w:pPr>
              <w:ind w:left="-48"/>
              <w:rPr>
                <w:rFonts w:cs="Times New Roman"/>
                <w:sz w:val="18"/>
                <w:szCs w:val="18"/>
              </w:rPr>
            </w:pPr>
            <w:r w:rsidRPr="002A6CAC">
              <w:rPr>
                <w:rFonts w:cs="Times New Roman"/>
                <w:sz w:val="18"/>
                <w:szCs w:val="18"/>
              </w:rPr>
              <w:t xml:space="preserve">Kajian ini menguji keberadaan teori relativisme dan determinisme Safir-Whorf tentang konstruksi kognitif penutur bahasa yang dipengaruhi oleh konteks budaya. Konstruksi kognitif melahirkan persepsi penutur melalui bentuk bahasa. Melalui survei, kajian ini bertujuan menggambarkan persepsi milenial terhadap pelestarian lingkungan melalui pengelolaan sampah. Data dianalisis secara deskriptif kuantitatif skala  Guthman dalam tiga langkah:  menghitung jumlah responden memilih deskripsi skala dan persepsi; menghitung skor masing-masing skala dan persepsi;  dan  menginterpretasi hubungan jumlah responden pada masing-masing deskripsi. Hasil kajian menunjukkan dua kelompok persepsi milenial atas realitas pelestarian lingkungan dan hubungannya dengan sampah. Persepsi pertama pada skala SS (sangat setuju) hingga STS (sangat tidak setuju). Kelompok ini ditunjukkan pada persepsi atas deskripsi nomor 2, 5, dan 6. Persepsi kedua pada skala SS (sangat setuju) hingga CS (cukup setuju). Kelompok ini ditunjukkan pada persepsi atas deksripsi nomor 1, 3, 4, 7, 8, 9, dan 10. Kedua kelompok persepsi  ini membutkikan, konstruksi kognitif penutur bahasa dipengaruhi oleh konteks budaya yang melingkupinya (relativisme). Konstruksi kognitif akan melahirkan persepsi penutur bahasa yang ditunjukkan melalui bentuk bahasanya (determinisme). </w:t>
            </w:r>
          </w:p>
        </w:tc>
      </w:tr>
      <w:tr w:rsidR="002A6CAC" w14:paraId="60EA69EC" w14:textId="77777777" w:rsidTr="00504F93">
        <w:tc>
          <w:tcPr>
            <w:tcW w:w="2410" w:type="dxa"/>
            <w:gridSpan w:val="2"/>
          </w:tcPr>
          <w:p w14:paraId="0CA80A1B" w14:textId="77777777" w:rsidR="002A6CAC" w:rsidRPr="002A6CAC" w:rsidRDefault="002A6CAC" w:rsidP="00504F93">
            <w:pPr>
              <w:ind w:left="-108" w:firstLine="0"/>
              <w:jc w:val="right"/>
              <w:rPr>
                <w:rFonts w:cs="Times New Roman"/>
                <w:sz w:val="18"/>
                <w:szCs w:val="18"/>
              </w:rPr>
            </w:pPr>
            <w:r w:rsidRPr="002A6CAC">
              <w:rPr>
                <w:rFonts w:cs="Times New Roman"/>
                <w:b/>
                <w:sz w:val="18"/>
                <w:szCs w:val="18"/>
              </w:rPr>
              <w:t>Keywords:</w:t>
            </w:r>
          </w:p>
        </w:tc>
        <w:tc>
          <w:tcPr>
            <w:tcW w:w="5528" w:type="dxa"/>
          </w:tcPr>
          <w:p w14:paraId="57EF95D4" w14:textId="1D53CED8" w:rsidR="002A6CAC" w:rsidRPr="002A6CAC" w:rsidRDefault="002A6CAC" w:rsidP="002A6CAC">
            <w:pPr>
              <w:ind w:left="0" w:firstLine="0"/>
              <w:rPr>
                <w:rFonts w:cs="Times New Roman"/>
                <w:b/>
                <w:bCs/>
                <w:sz w:val="18"/>
                <w:szCs w:val="18"/>
              </w:rPr>
            </w:pPr>
            <w:r w:rsidRPr="002A6CAC">
              <w:rPr>
                <w:rFonts w:cs="Times New Roman"/>
                <w:b/>
                <w:bCs/>
                <w:sz w:val="18"/>
                <w:szCs w:val="18"/>
              </w:rPr>
              <w:t xml:space="preserve">: </w:t>
            </w:r>
            <w:r w:rsidRPr="002A6CAC">
              <w:rPr>
                <w:rFonts w:cs="Times New Roman"/>
                <w:i/>
                <w:iCs/>
                <w:sz w:val="18"/>
                <w:szCs w:val="18"/>
              </w:rPr>
              <w:t>persepsi, proposisi bahasa indonesia, lingkungan</w:t>
            </w:r>
          </w:p>
          <w:p w14:paraId="25985B11" w14:textId="33442296" w:rsidR="002A6CAC" w:rsidRPr="002A6CAC" w:rsidRDefault="002A6CAC" w:rsidP="00504F93">
            <w:pPr>
              <w:ind w:left="-108" w:firstLine="0"/>
              <w:rPr>
                <w:rFonts w:cs="Times New Roman"/>
                <w:sz w:val="18"/>
                <w:szCs w:val="18"/>
              </w:rPr>
            </w:pPr>
          </w:p>
        </w:tc>
      </w:tr>
      <w:tr w:rsidR="002A6CAC" w14:paraId="205A46AC" w14:textId="77777777" w:rsidTr="00504F93">
        <w:tc>
          <w:tcPr>
            <w:tcW w:w="2410" w:type="dxa"/>
            <w:gridSpan w:val="2"/>
          </w:tcPr>
          <w:p w14:paraId="1BEE7F45" w14:textId="77777777" w:rsidR="002A6CAC" w:rsidRDefault="002A6CAC" w:rsidP="00504F93">
            <w:pPr>
              <w:ind w:left="-108" w:firstLine="0"/>
              <w:jc w:val="left"/>
              <w:rPr>
                <w:sz w:val="18"/>
              </w:rPr>
            </w:pPr>
          </w:p>
        </w:tc>
        <w:tc>
          <w:tcPr>
            <w:tcW w:w="5528" w:type="dxa"/>
          </w:tcPr>
          <w:p w14:paraId="27952933" w14:textId="77777777" w:rsidR="002A6CAC" w:rsidRDefault="002A6CAC" w:rsidP="00504F93">
            <w:pPr>
              <w:ind w:left="-108" w:firstLine="0"/>
              <w:rPr>
                <w:sz w:val="18"/>
              </w:rPr>
            </w:pPr>
          </w:p>
        </w:tc>
      </w:tr>
      <w:tr w:rsidR="002A6CAC" w14:paraId="74E09EC6" w14:textId="77777777" w:rsidTr="00504F93">
        <w:tc>
          <w:tcPr>
            <w:tcW w:w="2410" w:type="dxa"/>
            <w:gridSpan w:val="2"/>
          </w:tcPr>
          <w:p w14:paraId="4255F05A" w14:textId="77777777" w:rsidR="002A6CAC" w:rsidRPr="003F7CBE" w:rsidRDefault="002A6CAC" w:rsidP="00504F93">
            <w:pPr>
              <w:ind w:left="-108" w:firstLine="0"/>
              <w:jc w:val="left"/>
              <w:rPr>
                <w:sz w:val="18"/>
              </w:rPr>
            </w:pPr>
            <w:r>
              <w:rPr>
                <w:sz w:val="18"/>
              </w:rPr>
              <w:t>(*) Corresponding Author:</w:t>
            </w:r>
          </w:p>
        </w:tc>
        <w:tc>
          <w:tcPr>
            <w:tcW w:w="5528" w:type="dxa"/>
          </w:tcPr>
          <w:p w14:paraId="75F28B8D" w14:textId="6F72EB17" w:rsidR="002A6CAC" w:rsidRPr="00195700" w:rsidRDefault="00742DA3" w:rsidP="00195700">
            <w:pPr>
              <w:ind w:left="0" w:firstLine="0"/>
              <w:rPr>
                <w:b/>
                <w:bCs/>
                <w:sz w:val="18"/>
                <w:lang w:val="en-US"/>
              </w:rPr>
            </w:pPr>
            <w:r w:rsidRPr="000D6DD1">
              <w:rPr>
                <w:rFonts w:ascii="Garamond" w:hAnsi="Garamond" w:cs="Times New Roman"/>
                <w:sz w:val="24"/>
                <w:szCs w:val="24"/>
              </w:rPr>
              <w:t>Khirjan Nahdi</w:t>
            </w:r>
            <w:r w:rsidR="00195700">
              <w:rPr>
                <w:rFonts w:ascii="Garamond" w:hAnsi="Garamond" w:cs="Times New Roman"/>
                <w:sz w:val="24"/>
                <w:szCs w:val="24"/>
                <w:lang w:val="en-US"/>
              </w:rPr>
              <w:t xml:space="preserve">, </w:t>
            </w:r>
            <w:hyperlink r:id="rId7" w:history="1">
              <w:r w:rsidR="00195700" w:rsidRPr="000D6DD1">
                <w:rPr>
                  <w:rStyle w:val="Hyperlink"/>
                  <w:rFonts w:ascii="Garamond" w:hAnsi="Garamond" w:cs="Times New Roman"/>
                  <w:sz w:val="24"/>
                  <w:szCs w:val="24"/>
                </w:rPr>
                <w:t>khirjan.nw@gmail.com</w:t>
              </w:r>
            </w:hyperlink>
            <w:r w:rsidR="00195700">
              <w:rPr>
                <w:rStyle w:val="Hyperlink"/>
                <w:rFonts w:ascii="Garamond" w:hAnsi="Garamond" w:cs="Times New Roman"/>
                <w:sz w:val="24"/>
                <w:szCs w:val="24"/>
                <w:lang w:val="en-US"/>
              </w:rPr>
              <w:t>,</w:t>
            </w:r>
            <w:r w:rsidR="00195700">
              <w:rPr>
                <w:rStyle w:val="Hyperlink"/>
              </w:rPr>
              <w:t xml:space="preserve"> </w:t>
            </w:r>
            <w:r w:rsidR="00195700" w:rsidRPr="00195700">
              <w:rPr>
                <w:rStyle w:val="Hyperlink"/>
                <w:color w:val="auto"/>
                <w:u w:val="none"/>
                <w:lang w:val="en-US"/>
              </w:rPr>
              <w:t>0</w:t>
            </w:r>
            <w:r w:rsidR="00195700" w:rsidRPr="00195700">
              <w:rPr>
                <w:rStyle w:val="Hyperlink"/>
                <w:color w:val="auto"/>
                <w:u w:val="none"/>
              </w:rPr>
              <w:t>8</w:t>
            </w:r>
            <w:r w:rsidR="00195700" w:rsidRPr="00195700">
              <w:rPr>
                <w:rStyle w:val="Hyperlink"/>
                <w:color w:val="auto"/>
                <w:u w:val="none"/>
                <w:lang w:val="en-US"/>
              </w:rPr>
              <w:t>1</w:t>
            </w:r>
            <w:r w:rsidR="00195700" w:rsidRPr="00195700">
              <w:rPr>
                <w:rStyle w:val="Hyperlink"/>
                <w:color w:val="auto"/>
                <w:u w:val="none"/>
              </w:rPr>
              <w:t>7</w:t>
            </w:r>
            <w:r w:rsidR="00195700" w:rsidRPr="00195700">
              <w:rPr>
                <w:rStyle w:val="Hyperlink"/>
                <w:color w:val="auto"/>
                <w:u w:val="none"/>
                <w:lang w:val="en-US"/>
              </w:rPr>
              <w:t>5</w:t>
            </w:r>
            <w:r w:rsidR="00195700" w:rsidRPr="00195700">
              <w:rPr>
                <w:rStyle w:val="Hyperlink"/>
                <w:color w:val="auto"/>
                <w:u w:val="none"/>
              </w:rPr>
              <w:t>7</w:t>
            </w:r>
            <w:r w:rsidR="00195700" w:rsidRPr="00195700">
              <w:rPr>
                <w:rStyle w:val="Hyperlink"/>
                <w:color w:val="auto"/>
                <w:u w:val="none"/>
                <w:lang w:val="en-US"/>
              </w:rPr>
              <w:t>0</w:t>
            </w:r>
            <w:r w:rsidR="00195700" w:rsidRPr="00195700">
              <w:rPr>
                <w:rStyle w:val="Hyperlink"/>
                <w:color w:val="auto"/>
                <w:u w:val="none"/>
              </w:rPr>
              <w:t>7</w:t>
            </w:r>
            <w:r w:rsidR="00195700" w:rsidRPr="00195700">
              <w:rPr>
                <w:rStyle w:val="Hyperlink"/>
                <w:color w:val="auto"/>
                <w:u w:val="none"/>
                <w:lang w:val="en-US"/>
              </w:rPr>
              <w:t>4</w:t>
            </w:r>
            <w:r w:rsidR="00195700" w:rsidRPr="00195700">
              <w:rPr>
                <w:rStyle w:val="Hyperlink"/>
                <w:color w:val="auto"/>
                <w:u w:val="none"/>
              </w:rPr>
              <w:t>8</w:t>
            </w:r>
            <w:r w:rsidR="00195700" w:rsidRPr="00195700">
              <w:rPr>
                <w:rStyle w:val="Hyperlink"/>
                <w:color w:val="auto"/>
                <w:u w:val="none"/>
                <w:lang w:val="en-US"/>
              </w:rPr>
              <w:t>5</w:t>
            </w:r>
          </w:p>
        </w:tc>
      </w:tr>
      <w:tr w:rsidR="002A6CAC" w14:paraId="1776EB08" w14:textId="77777777" w:rsidTr="00504F93">
        <w:tc>
          <w:tcPr>
            <w:tcW w:w="2410" w:type="dxa"/>
            <w:gridSpan w:val="2"/>
          </w:tcPr>
          <w:p w14:paraId="68380A30" w14:textId="77777777" w:rsidR="002A6CAC" w:rsidRDefault="002A6CAC" w:rsidP="00504F93">
            <w:pPr>
              <w:ind w:left="-108" w:firstLine="0"/>
              <w:jc w:val="left"/>
              <w:rPr>
                <w:sz w:val="18"/>
              </w:rPr>
            </w:pPr>
          </w:p>
        </w:tc>
        <w:tc>
          <w:tcPr>
            <w:tcW w:w="5528" w:type="dxa"/>
          </w:tcPr>
          <w:p w14:paraId="48EBC1CF" w14:textId="77777777" w:rsidR="002A6CAC" w:rsidRDefault="002A6CAC" w:rsidP="00504F93">
            <w:pPr>
              <w:ind w:left="-108" w:firstLine="0"/>
              <w:rPr>
                <w:sz w:val="18"/>
              </w:rPr>
            </w:pPr>
          </w:p>
        </w:tc>
      </w:tr>
      <w:tr w:rsidR="002A6CAC" w:rsidRPr="00195700" w14:paraId="0F59ED8C" w14:textId="77777777" w:rsidTr="00504F93">
        <w:tc>
          <w:tcPr>
            <w:tcW w:w="7938" w:type="dxa"/>
            <w:gridSpan w:val="3"/>
          </w:tcPr>
          <w:p w14:paraId="48235AA9" w14:textId="4708A660" w:rsidR="002A6CAC" w:rsidRPr="00195700" w:rsidRDefault="002A6CAC" w:rsidP="00195700">
            <w:pPr>
              <w:ind w:left="64" w:firstLine="0"/>
              <w:rPr>
                <w:rFonts w:cs="Times New Roman"/>
                <w:sz w:val="18"/>
                <w:szCs w:val="18"/>
              </w:rPr>
            </w:pPr>
            <w:r w:rsidRPr="00195700">
              <w:rPr>
                <w:b/>
                <w:sz w:val="18"/>
                <w:szCs w:val="18"/>
              </w:rPr>
              <w:t>How to Cite:</w:t>
            </w:r>
            <w:r w:rsidRPr="00195700">
              <w:rPr>
                <w:sz w:val="18"/>
                <w:szCs w:val="18"/>
              </w:rPr>
              <w:t xml:space="preserve"> </w:t>
            </w:r>
            <w:r w:rsidR="00195700" w:rsidRPr="00195700">
              <w:rPr>
                <w:rFonts w:cs="Times New Roman"/>
                <w:sz w:val="18"/>
                <w:szCs w:val="18"/>
              </w:rPr>
              <w:t>Nahdi</w:t>
            </w:r>
            <w:r w:rsidR="00195700" w:rsidRPr="00195700">
              <w:rPr>
                <w:rFonts w:cs="Times New Roman"/>
                <w:sz w:val="18"/>
                <w:szCs w:val="18"/>
                <w:lang w:val="en-US"/>
              </w:rPr>
              <w:t>, K</w:t>
            </w:r>
            <w:r w:rsidR="00195700" w:rsidRPr="00195700">
              <w:rPr>
                <w:rFonts w:cs="Times New Roman"/>
                <w:sz w:val="18"/>
                <w:szCs w:val="18"/>
                <w:lang w:val="en-US"/>
              </w:rPr>
              <w:t>,</w:t>
            </w:r>
            <w:r w:rsidR="009938B7">
              <w:rPr>
                <w:rFonts w:cs="Times New Roman"/>
                <w:sz w:val="18"/>
                <w:szCs w:val="18"/>
                <w:lang w:val="en-US"/>
              </w:rPr>
              <w:t>.</w:t>
            </w:r>
            <w:r w:rsidR="00195700" w:rsidRPr="00195700">
              <w:rPr>
                <w:rFonts w:cs="Times New Roman"/>
                <w:sz w:val="18"/>
                <w:szCs w:val="18"/>
                <w:lang w:val="en-US"/>
              </w:rPr>
              <w:t xml:space="preserve"> </w:t>
            </w:r>
            <w:r w:rsidR="00195700" w:rsidRPr="00195700">
              <w:rPr>
                <w:rFonts w:cs="Times New Roman"/>
                <w:sz w:val="18"/>
                <w:szCs w:val="18"/>
              </w:rPr>
              <w:t>Marzuki</w:t>
            </w:r>
            <w:r w:rsidR="00195700" w:rsidRPr="00195700">
              <w:rPr>
                <w:rFonts w:cs="Times New Roman"/>
                <w:sz w:val="18"/>
                <w:szCs w:val="18"/>
                <w:lang w:val="en-US"/>
              </w:rPr>
              <w:t>,</w:t>
            </w:r>
            <w:r w:rsidR="009938B7">
              <w:rPr>
                <w:rFonts w:cs="Times New Roman"/>
                <w:sz w:val="18"/>
                <w:szCs w:val="18"/>
                <w:lang w:val="en-US"/>
              </w:rPr>
              <w:t>.</w:t>
            </w:r>
            <w:r w:rsidR="00195700">
              <w:rPr>
                <w:rFonts w:cs="Times New Roman"/>
                <w:sz w:val="18"/>
                <w:szCs w:val="18"/>
                <w:lang w:val="en-US"/>
              </w:rPr>
              <w:t xml:space="preserve"> </w:t>
            </w:r>
            <w:r w:rsidR="00195700" w:rsidRPr="00195700">
              <w:rPr>
                <w:rFonts w:cs="Times New Roman"/>
                <w:sz w:val="18"/>
                <w:szCs w:val="18"/>
              </w:rPr>
              <w:t>Lutfi</w:t>
            </w:r>
            <w:r w:rsidR="009938B7">
              <w:rPr>
                <w:rFonts w:cs="Times New Roman"/>
                <w:sz w:val="18"/>
                <w:szCs w:val="18"/>
                <w:lang w:val="en-US"/>
              </w:rPr>
              <w:t>,</w:t>
            </w:r>
            <w:r w:rsidR="00195700" w:rsidRPr="00195700">
              <w:rPr>
                <w:rFonts w:cs="Times New Roman"/>
                <w:sz w:val="18"/>
                <w:szCs w:val="18"/>
                <w:lang w:val="en-US"/>
              </w:rPr>
              <w:t xml:space="preserve"> S</w:t>
            </w:r>
            <w:r w:rsidR="00195700" w:rsidRPr="00195700">
              <w:rPr>
                <w:rFonts w:cs="Times New Roman"/>
                <w:sz w:val="18"/>
                <w:szCs w:val="18"/>
                <w:lang w:val="en-US"/>
              </w:rPr>
              <w:t>,</w:t>
            </w:r>
            <w:r w:rsidR="009938B7">
              <w:rPr>
                <w:rFonts w:cs="Times New Roman"/>
                <w:sz w:val="18"/>
                <w:szCs w:val="18"/>
                <w:lang w:val="en-US"/>
              </w:rPr>
              <w:t>.</w:t>
            </w:r>
            <w:r w:rsidR="00195700" w:rsidRPr="00195700">
              <w:rPr>
                <w:rFonts w:cs="Times New Roman"/>
                <w:sz w:val="18"/>
                <w:szCs w:val="18"/>
                <w:lang w:val="en-US"/>
              </w:rPr>
              <w:t xml:space="preserve"> </w:t>
            </w:r>
            <w:r w:rsidR="00195700" w:rsidRPr="00195700">
              <w:rPr>
                <w:rFonts w:cs="Times New Roman"/>
                <w:sz w:val="18"/>
                <w:szCs w:val="18"/>
              </w:rPr>
              <w:t>Ramdhani</w:t>
            </w:r>
            <w:r w:rsidR="00195700" w:rsidRPr="00195700">
              <w:rPr>
                <w:rFonts w:cs="Times New Roman"/>
                <w:sz w:val="18"/>
                <w:szCs w:val="18"/>
                <w:lang w:val="en-US"/>
              </w:rPr>
              <w:t xml:space="preserve"> S</w:t>
            </w:r>
            <w:r w:rsidR="00195700" w:rsidRPr="00195700">
              <w:rPr>
                <w:rFonts w:cs="Times New Roman"/>
                <w:sz w:val="18"/>
                <w:szCs w:val="18"/>
                <w:lang w:val="en-US"/>
              </w:rPr>
              <w:t>,</w:t>
            </w:r>
            <w:r w:rsidR="009938B7">
              <w:rPr>
                <w:rFonts w:cs="Times New Roman"/>
                <w:sz w:val="18"/>
                <w:szCs w:val="18"/>
                <w:lang w:val="en-US"/>
              </w:rPr>
              <w:t>.</w:t>
            </w:r>
            <w:r w:rsidR="00195700" w:rsidRPr="00195700">
              <w:rPr>
                <w:rFonts w:cs="Times New Roman"/>
                <w:sz w:val="18"/>
                <w:szCs w:val="18"/>
                <w:lang w:val="en-US"/>
              </w:rPr>
              <w:t xml:space="preserve"> </w:t>
            </w:r>
            <w:r w:rsidR="00195700" w:rsidRPr="00195700">
              <w:rPr>
                <w:rFonts w:cs="Times New Roman"/>
                <w:sz w:val="18"/>
                <w:szCs w:val="18"/>
              </w:rPr>
              <w:t>Wijaya</w:t>
            </w:r>
            <w:r w:rsidR="00195700" w:rsidRPr="00195700">
              <w:rPr>
                <w:rFonts w:cs="Times New Roman"/>
                <w:sz w:val="18"/>
                <w:szCs w:val="18"/>
                <w:lang w:val="en-US"/>
              </w:rPr>
              <w:t xml:space="preserve">, H.(2021). </w:t>
            </w:r>
            <w:r w:rsidR="00195700" w:rsidRPr="00195700">
              <w:rPr>
                <w:rFonts w:cs="Times New Roman"/>
                <w:sz w:val="18"/>
                <w:szCs w:val="18"/>
              </w:rPr>
              <w:t>Persepsi Milenial Terhadap Kelestarian Lingkungan Dalam Proposisi Bahasa Indonesia Berbasis Pengelolaan Sampah</w:t>
            </w:r>
            <w:r w:rsidR="00195700" w:rsidRPr="00195700">
              <w:rPr>
                <w:rFonts w:cs="Times New Roman"/>
                <w:sz w:val="18"/>
                <w:szCs w:val="18"/>
                <w:lang w:val="en-US"/>
              </w:rPr>
              <w:t xml:space="preserve"> </w:t>
            </w:r>
            <w:r w:rsidRPr="00195700">
              <w:rPr>
                <w:sz w:val="18"/>
                <w:szCs w:val="18"/>
              </w:rPr>
              <w:t xml:space="preserve">. </w:t>
            </w:r>
            <w:r w:rsidRPr="00195700">
              <w:rPr>
                <w:i/>
                <w:sz w:val="18"/>
                <w:szCs w:val="18"/>
              </w:rPr>
              <w:t xml:space="preserve">Research and Development Journal of Education, </w:t>
            </w:r>
            <w:r w:rsidRPr="00195700">
              <w:rPr>
                <w:sz w:val="18"/>
                <w:szCs w:val="18"/>
              </w:rPr>
              <w:t>XX (x), x-xx.</w:t>
            </w:r>
          </w:p>
        </w:tc>
      </w:tr>
    </w:tbl>
    <w:p w14:paraId="3D81201A" w14:textId="7E95BF72" w:rsidR="002A6CAC" w:rsidRDefault="002A6CAC" w:rsidP="009938B7">
      <w:pPr>
        <w:ind w:left="0" w:firstLine="0"/>
      </w:pPr>
    </w:p>
    <w:p w14:paraId="1DB94E81" w14:textId="77777777" w:rsidR="002A6CAC" w:rsidRPr="0080596A" w:rsidRDefault="002A6CAC" w:rsidP="002A6CAC">
      <w:pPr>
        <w:ind w:left="0" w:firstLine="0"/>
        <w:rPr>
          <w:b/>
          <w:lang w:val="en-US"/>
        </w:rPr>
      </w:pPr>
      <w:r>
        <w:rPr>
          <w:b/>
          <w:lang w:val="en-US"/>
        </w:rPr>
        <w:t>INTRODUCTION</w:t>
      </w:r>
    </w:p>
    <w:p w14:paraId="5EAF182E" w14:textId="77777777" w:rsidR="009938B7" w:rsidRDefault="009938B7" w:rsidP="002A6CAC">
      <w:pPr>
        <w:ind w:left="0" w:firstLine="720"/>
        <w:rPr>
          <w:i/>
        </w:rPr>
      </w:pPr>
    </w:p>
    <w:p w14:paraId="69B802E0" w14:textId="51DE7804" w:rsidR="002A6CAC" w:rsidRPr="002A6CAC" w:rsidRDefault="002A6CAC" w:rsidP="002A6CAC">
      <w:pPr>
        <w:ind w:left="0" w:firstLine="720"/>
        <w:rPr>
          <w:rFonts w:cs="Times New Roman"/>
        </w:rPr>
      </w:pPr>
      <w:r w:rsidRPr="002A6CAC">
        <w:rPr>
          <w:rFonts w:cs="Times New Roman"/>
        </w:rPr>
        <w:t xml:space="preserve">Pandangan Safir-Whorf tentang teori relativitas dan teori determinisme bahasa menurut   </w:t>
      </w:r>
      <w:r w:rsidRPr="002A6CAC">
        <w:rPr>
          <w:rFonts w:cs="Times New Roman"/>
        </w:rPr>
        <w:fldChar w:fldCharType="begin" w:fldLock="1"/>
      </w:r>
      <w:r w:rsidRPr="002A6CAC">
        <w:rPr>
          <w:rFonts w:cs="Times New Roman"/>
        </w:rPr>
        <w:instrText>ADDIN CSL_CITATION {"citationItems":[{"id":"ITEM-1","itemData":{"DOI":"10.1111/j.1468-0017.2004.00259.x","ISSN":"02681064","abstract":"Based on the analysis of narrations in Free Indirect Discourse and the Historical Present, I argue (building in particular on (Banfield, 1982) and (Doron, 1991)) that the grammatical notion of context of speech should be ramified into a Context of Thought and a Context of Utterance. Tense and person depend on the Context of Utterance, while all other indexicals (including here, now and the demonstratives) are evaluated with respect to the Context of Thought. Free Indirect Discourse and the Historical Present are analyzed as special combinatorial possibilities that arise when the two contexts are distinct, and exactly one of them is presented as identical to the physical point at which the sentence is articulated.","author":[{"dropping-particle":"","family":"Schlenker","given":"Philippe","non-dropping-particle":"","parse-names":false,"suffix":""}],"container-title":"Mind and Language","id":"ITEM-1","issue":"3","issued":{"date-parts":[["2004"]]},"page":"279-304","title":"Context of thought and context of utterance: A note on free indirect discourse and the historical present","type":"article-journal","volume":"19"},"uris":["http://www.mendeley.com/documents/?uuid=5484a553-6c17-47e3-9e63-e4f21d9dd274"]}],"mendeley":{"formattedCitation":"(Schlenker, 2004)","manualFormatting":"Schlenker (2004)","plainTextFormattedCitation":"(Schlenker, 2004)","previouslyFormattedCitation":"(Schlenker, 2004)"},"properties":{"noteIndex":0},"schema":"https://github.com/citation-style-language/schema/raw/master/csl-citation.json"}</w:instrText>
      </w:r>
      <w:r w:rsidRPr="002A6CAC">
        <w:rPr>
          <w:rFonts w:cs="Times New Roman"/>
        </w:rPr>
        <w:fldChar w:fldCharType="separate"/>
      </w:r>
      <w:r w:rsidRPr="002A6CAC">
        <w:rPr>
          <w:rFonts w:cs="Times New Roman"/>
          <w:noProof/>
        </w:rPr>
        <w:t>Schlenker (2004)</w:t>
      </w:r>
      <w:r w:rsidRPr="002A6CAC">
        <w:rPr>
          <w:rFonts w:cs="Times New Roman"/>
        </w:rPr>
        <w:fldChar w:fldCharType="end"/>
      </w:r>
      <w:r w:rsidRPr="002A6CAC">
        <w:rPr>
          <w:rFonts w:cs="Times New Roman"/>
        </w:rPr>
        <w:t xml:space="preserve"> berkaitan dengan kesejajaran aspek kognitif penutur bahasa dan aspek non kognitif di luarnya. Jika memahami maksud kesejajaran kognitif dan non kognitif dalam produksi bahasa penutur, pandangan Schlenker tentang maksud Safir-Whorf tidak jauh beda dengan pandangan Gumperz dan Levinson yang banyak dipengaruhi oleh Humbolt dalam bahasan </w:t>
      </w:r>
      <w:r w:rsidRPr="002A6CAC">
        <w:rPr>
          <w:rFonts w:cs="Times New Roman"/>
        </w:rPr>
        <w:fldChar w:fldCharType="begin" w:fldLock="1"/>
      </w:r>
      <w:r w:rsidRPr="002A6CAC">
        <w:rPr>
          <w:rFonts w:cs="Times New Roman"/>
        </w:rPr>
        <w:instrText>ADDIN CSL_CITATION {"citationItems":[{"id":"ITEM-1","itemData":{"DOI":"10.4324/9780203220535-9","ISBN":"0203220536","abstract":"That human beings display in</w:instrText>
      </w:r>
      <w:r w:rsidRPr="002A6CAC">
        <w:rPr>
          <w:rFonts w:ascii="Tahoma" w:hAnsi="Tahoma" w:cs="Tahoma"/>
        </w:rPr>
        <w:instrText>�</w:instrText>
      </w:r>
      <w:r w:rsidRPr="002A6CAC">
        <w:rPr>
          <w:rFonts w:cs="Times New Roman"/>
        </w:rPr>
        <w:instrText xml:space="preserve">?nite creativity in the use of language has been a powerful axiom within theoretical linguistics for 40 years, ever since Noam Chomsky </w:instrText>
      </w:r>
      <w:r w:rsidRPr="002A6CAC">
        <w:rPr>
          <w:rFonts w:ascii="Tahoma" w:hAnsi="Tahoma" w:cs="Tahoma"/>
        </w:rPr>
        <w:instrText>�</w:instrText>
      </w:r>
      <w:r w:rsidRPr="002A6CAC">
        <w:rPr>
          <w:rFonts w:cs="Times New Roman"/>
        </w:rPr>
        <w:instrText>?rst set out his views on the matter in his paper ‘The Logical Basis of Linguistic Theory’ at the 9th International Congress of Linguists in 1962. Yet applied linguists keep bumping up against the limits of such creativity. Research into collocation, notably that carried out in the COBUILD project led by John Sinclair, has progressively con</w:instrText>
      </w:r>
      <w:r w:rsidRPr="002A6CAC">
        <w:rPr>
          <w:rFonts w:ascii="Tahoma" w:hAnsi="Tahoma" w:cs="Tahoma"/>
        </w:rPr>
        <w:instrText>�</w:instrText>
      </w:r>
      <w:r w:rsidRPr="002A6CAC">
        <w:rPr>
          <w:rFonts w:cs="Times New Roman"/>
        </w:rPr>
        <w:instrText>?rmed the important insight of J.R. Firth (1890-1960) that language is ‘chunkier’ than non-Firthian linguistics would have us believe. If a given English word has just been uttered, we can predict with a surprising degree of accuracy which words, or which of a limited number of options, will follow it. This is a signi</w:instrText>
      </w:r>
      <w:r w:rsidRPr="002A6CAC">
        <w:rPr>
          <w:rFonts w:ascii="Tahoma" w:hAnsi="Tahoma" w:cs="Tahoma"/>
        </w:rPr>
        <w:instrText>�</w:instrText>
      </w:r>
      <w:r w:rsidRPr="002A6CAC">
        <w:rPr>
          <w:rFonts w:cs="Times New Roman"/>
        </w:rPr>
        <w:instrText>?cant tempering of the notion that we are constantly saying things that have never been heard before in human history.","author":[{"dropping-particle":"","family":"Joseph","given":"John E.","non-dropping-particle":"","parse-names":false,"suffix":""}],"container-title":"Rethinking Linguistics","id":"ITEM-1","issued":{"date-parts":[["2003"]]},"page":"121-150","title":"Rethinking linguistic creativity","type":"article-journal"},"uris":["http://www.mendeley.com/documents/?uuid=93d8e23e-eeab-4678-af80-ab646650f492"]}],"mendeley":{"formattedCitation":"(Joseph, 2003)","manualFormatting":"Joseph (2003)","plainTextFormattedCitation":"(Joseph, 2003)","previouslyFormattedCitation":"(Joseph, 2003)"},"properties":{"noteIndex":0},"schema":"https://github.com/citation-style-language/schema/raw/master/csl-citation.json"}</w:instrText>
      </w:r>
      <w:r w:rsidRPr="002A6CAC">
        <w:rPr>
          <w:rFonts w:cs="Times New Roman"/>
        </w:rPr>
        <w:fldChar w:fldCharType="separate"/>
      </w:r>
      <w:r w:rsidRPr="002A6CAC">
        <w:rPr>
          <w:rFonts w:cs="Times New Roman"/>
          <w:noProof/>
        </w:rPr>
        <w:t>Joseph (2003)</w:t>
      </w:r>
      <w:r w:rsidRPr="002A6CAC">
        <w:rPr>
          <w:rFonts w:cs="Times New Roman"/>
        </w:rPr>
        <w:fldChar w:fldCharType="end"/>
      </w:r>
      <w:r w:rsidRPr="002A6CAC">
        <w:rPr>
          <w:rFonts w:cs="Times New Roman"/>
        </w:rPr>
        <w:t xml:space="preserve">. Gumperz dan Levinson menurut Joseph menekankan kuatnya pengaruh budaya seseorang terhadap produksi bahasanya. Teori relativitas memungkinkan penutur bahasa memiliki cara pandang atau konstruksi kognitif berbeda terhadap fenomena di luar bahasa. Khusus relativitas bahasa, </w:t>
      </w:r>
      <w:r w:rsidRPr="002A6CAC">
        <w:rPr>
          <w:rFonts w:cs="Times New Roman"/>
        </w:rPr>
        <w:fldChar w:fldCharType="begin" w:fldLock="1"/>
      </w:r>
      <w:r w:rsidRPr="002A6CAC">
        <w:rPr>
          <w:rFonts w:cs="Times New Roman"/>
        </w:rPr>
        <w:instrText>ADDIN CSL_CITATION {"citationItems":[{"id":"ITEM-1","itemData":{"DOI":"10.33541/jdp.v10i3.635","ISSN":"1410-4695","abstract":"ABSTRAKRelativisme adalah kebalikan dari rasionalisme. Dalam kasus ini, teori relativitas bahasa merupakan bagian dari filsafat relativisme. Filsafat ini memandang bahwa bahasa bukanlah sebuah entitas yang statis atau mutlak. Bahasa diyakini dapat mempengaruhi pikiran. Budaya, melalui bahasa, mempengaruhi cara berfikir individu dan bagaimana mereka melihat dunia atau realitas. Konsep dasar dari filsafat ini adalah bahwa bahasa mempengaruhi pikiran, Bahasa bersifat istimewa atau unik, dan bahwa bahasa dan budaya bersifat relatif. Masing-masing konsep memiliki kekuatan, kelemahan, peluang, dan ancaman. Relativisme berimbas pada berbagai aspek kehidupan manusia, khususnya pendidikan. Hal tersebut membawa implikasi pada pendidikan secara umum, dan pembelajaran bahasa, moralitas, pragmatisme dan kurikulum secara khusus, jika dilihat dari sudut pandang pendidikan.Kata Kunci: Relativisme, bahasa, filsafat, relativitas bahasa   ABSTRACTRelativism is an antithesis of rationalism. In this case, linguistic relativity belongs to relativism. It views that language is not a static entity. Language is believed influencing thought. Culture, through language, influence the individualsâ€™ ways of thinking and how they view the world or realities. The basic concepts of this philosophy are that language dictates thought, language is idiosyncratic or unique, and that language and culture are relative. Each concept has its strengths, weakness, opportunities and threats. Relativism imposes on the various aspects of human life, particularly education. It brings implications on education in general, and on language learning, morality, pragmatism, and curriculum specifically, when it is seen from education point of view.Keywords: Relativism, language, philosophy, linguistic relativity","author":[{"dropping-particle":"","family":"Angelianawati","given":"Luh","non-dropping-particle":"","parse-names":false,"suffix":""}],"container-title":"Jurnal Dinamika Pendidikan","id":"ITEM-1","issue":"3","issued":{"date-parts":[["2018"]]},"page":"332","title":"Philosophical Linguistic Relativity: Sebuah Kajian Tentang Pokok Pikiran Filsafat Relativisme Bahasa","type":"article-journal","volume":"10"},"uris":["http://www.mendeley.com/documents/?uuid=e2a0e355-fddd-4b50-bc95-97ca8a777994"]}],"mendeley":{"formattedCitation":"(Angelianawati, 2018)","manualFormatting":"Angelianawati (2018)","plainTextFormattedCitation":"(Angelianawati, 2018)","previouslyFormattedCitation":"(Angelianawati, 2018)"},"properties":{"noteIndex":0},"schema":"https://github.com/citation-style-language/schema/raw/master/csl-citation.json"}</w:instrText>
      </w:r>
      <w:r w:rsidRPr="002A6CAC">
        <w:rPr>
          <w:rFonts w:cs="Times New Roman"/>
        </w:rPr>
        <w:fldChar w:fldCharType="separate"/>
      </w:r>
      <w:r w:rsidRPr="002A6CAC">
        <w:rPr>
          <w:rFonts w:cs="Times New Roman"/>
          <w:noProof/>
        </w:rPr>
        <w:t>Angelianawati (2018)</w:t>
      </w:r>
      <w:r w:rsidRPr="002A6CAC">
        <w:rPr>
          <w:rFonts w:cs="Times New Roman"/>
        </w:rPr>
        <w:fldChar w:fldCharType="end"/>
      </w:r>
      <w:r w:rsidRPr="002A6CAC">
        <w:rPr>
          <w:rFonts w:cs="Times New Roman"/>
        </w:rPr>
        <w:t xml:space="preserve">; </w:t>
      </w:r>
      <w:r w:rsidRPr="002A6CAC">
        <w:rPr>
          <w:rFonts w:cs="Times New Roman"/>
        </w:rPr>
        <w:fldChar w:fldCharType="begin" w:fldLock="1"/>
      </w:r>
      <w:r w:rsidRPr="002A6CAC">
        <w:rPr>
          <w:rFonts w:cs="Times New Roman"/>
        </w:rPr>
        <w:instrText>ADDIN CSL_CITATION {"citationItems":[{"id":"ITEM-1","itemData":{"author":[{"dropping-particle":"","family":"Muryati","given":"Sri","non-dropping-particle":"","parse-names":false,"suffix":""}],"id":"ITEM-1","issued":{"date-parts":[["2013"]]},"publisher":"Untag Semarang","publisher-place":"Semarang","title":"Tinjauan Hipotesis Safir-Whorf dalam Serah Terima Bahasa Jepang","type":"article-journal"},"uris":["http://www.mendeley.com/documents/?uuid=cbaa5b90-d6e7-4c9e-accd-480ee31f4be6"]}],"mendeley":{"formattedCitation":"(Muryati, 2013)","manualFormatting":"Muryati (2013)","plainTextFormattedCitation":"(Muryati, 2013)","previouslyFormattedCitation":"(Muryati, 2013)"},"properties":{"noteIndex":0},"schema":"https://github.com/citation-style-language/schema/raw/master/csl-citation.json"}</w:instrText>
      </w:r>
      <w:r w:rsidRPr="002A6CAC">
        <w:rPr>
          <w:rFonts w:cs="Times New Roman"/>
        </w:rPr>
        <w:fldChar w:fldCharType="separate"/>
      </w:r>
      <w:r w:rsidRPr="002A6CAC">
        <w:rPr>
          <w:rFonts w:cs="Times New Roman"/>
          <w:noProof/>
        </w:rPr>
        <w:t>Muryati (2013)</w:t>
      </w:r>
      <w:r w:rsidRPr="002A6CAC">
        <w:rPr>
          <w:rFonts w:cs="Times New Roman"/>
        </w:rPr>
        <w:fldChar w:fldCharType="end"/>
      </w:r>
      <w:r w:rsidRPr="002A6CAC">
        <w:rPr>
          <w:rFonts w:cs="Times New Roman"/>
        </w:rPr>
        <w:t xml:space="preserve">; </w:t>
      </w:r>
      <w:r w:rsidRPr="002A6CAC">
        <w:rPr>
          <w:rFonts w:cs="Times New Roman"/>
        </w:rPr>
        <w:fldChar w:fldCharType="begin" w:fldLock="1"/>
      </w:r>
      <w:r w:rsidRPr="002A6CAC">
        <w:rPr>
          <w:rFonts w:cs="Times New Roman"/>
        </w:rPr>
        <w:instrText>ADDIN CSL_CITATION {"citationItems":[{"id":"ITEM-1","itemData":{"abstract":"The moderate version of the Sapir-Whorf Hypothesis states that the way we perceive reality is partly determined by the language we speak. This implies that a native language has strong influence on the thought patterns of its individual speakers; and hence the collective thought patterns of the speech community contribute to the formation of culture-specific way of thinking. This means that linguistic relativity boils down into cultural relativity. Theoretically, this view is only half-way true, for the opposite hypothesis is equally acceptable: cultural relativity leads to linguistic relativity. In other words, linguistic relativity and cultural relativity are related to each other not in a uni-directional manner but in a mutually influential way. At the surface level and by way of illustration, the mutual relationship between linguistic relativity and cultural relativity shows up explicitly in the different ways of how Indonesians and Americans verbalize their mundane and more specifically their religious experience, as can be seen referring to the latter in their different poetic genres pertaining to the realm of divinity. Key words: Sapir-Whort hypothesis, linguistic relativity, cultural relativity, Indonesian and American poetry, divine poems.","author":[{"dropping-particle":"","family":"Kadarisman","given":"Effendi","non-dropping-particle":"","parse-names":false,"suffix":""}],"container-title":"MLI","editor":[{"dropping-particle":"","family":"Kaswanti Purwo","given":"Bambang","non-dropping-particle":"","parse-names":false,"suffix":""}],"id":"ITEM-1","issued":{"date-parts":[["2007"]]},"publisher":"MLI","publisher-place":"Jakarta","title":"Hipotesis Safir-Whorf dan Ungkap Keagamaan","type":"article-journal"},"uris":["http://www.mendeley.com/documents/?uuid=120a109b-4f27-4dd0-bf82-84d46928edbe"]}],"mendeley":{"formattedCitation":"(Kadarisman, 2007)","manualFormatting":"Kadarisman (2007)","plainTextFormattedCitation":"(Kadarisman, 2007)","previouslyFormattedCitation":"(Kadarisman, 2007)"},"properties":{"noteIndex":0},"schema":"https://github.com/citation-style-language/schema/raw/master/csl-citation.json"}</w:instrText>
      </w:r>
      <w:r w:rsidRPr="002A6CAC">
        <w:rPr>
          <w:rFonts w:cs="Times New Roman"/>
        </w:rPr>
        <w:fldChar w:fldCharType="separate"/>
      </w:r>
      <w:r w:rsidRPr="002A6CAC">
        <w:rPr>
          <w:rFonts w:cs="Times New Roman"/>
          <w:noProof/>
        </w:rPr>
        <w:t>Kadarisman (2007)</w:t>
      </w:r>
      <w:r w:rsidRPr="002A6CAC">
        <w:rPr>
          <w:rFonts w:cs="Times New Roman"/>
        </w:rPr>
        <w:fldChar w:fldCharType="end"/>
      </w:r>
      <w:r w:rsidRPr="002A6CAC">
        <w:rPr>
          <w:rFonts w:cs="Times New Roman"/>
        </w:rPr>
        <w:t xml:space="preserve"> menyebutnya relativisme bahasa merupakan kemampuan berpikir tentang sesuatu yang dipengaruhi budaya, dan direfleksikan melalui bahasa. Sedangkan determinisme memungkinkan penutur bahasa membuat persepsi tentang realitas sesuai dengan struktur bahasa yang dimilikinya. Relativitas dan determinisme bahasa memandang pikiran dan bahasa saling mempengaruhi. Kekayaan </w:t>
      </w:r>
      <w:r w:rsidRPr="002A6CAC">
        <w:rPr>
          <w:rFonts w:cs="Times New Roman"/>
        </w:rPr>
        <w:lastRenderedPageBreak/>
        <w:t xml:space="preserve">khazanah non kognitif akan memengaruhi khazanah kognitif. Relativitas dan determinisme dapat mewakili tujuan kajian ini, yakni menggambarkan persepsi kelompok pemakai bahasa terhadap fenomena lingkungannya. Persepsi disejajarkan dengan konstruksi kognitif atau inti kognitif menurut </w:t>
      </w:r>
      <w:r w:rsidRPr="002A6CAC">
        <w:rPr>
          <w:rFonts w:cs="Times New Roman"/>
        </w:rPr>
        <w:fldChar w:fldCharType="begin" w:fldLock="1"/>
      </w:r>
      <w:r w:rsidRPr="002A6CAC">
        <w:rPr>
          <w:rFonts w:cs="Times New Roman"/>
        </w:rPr>
        <w:instrText>ADDIN CSL_CITATION {"citationItems":[{"id":"ITEM-1","itemData":{"DOI":"10.1080/09515089.2017.1299858","ISSN":"0951-5089","abstract":"The Centered Mind offers a new view of the nature and causal determinants of both reflective thinking and, more generally, the stream of consciousness. Peter Carruthers argues that conscious thought is always sensory-based, relying on the resources of the working-memory system. This system has been much studied by cognitive scientists. It enables sensory images to be sustained and manipulated through attentional signals directed at midlevel sensory areas of the brain. When abstract conceptual representations are bound into these images, we consciously experience ourselves as making judgments or arriving at decisions. Thus one might hear oneself as judging, in inner speech, that it is time to go home, for example. However, our amodal (non-sensory) propositional attitudes are never actually among the contents of this stream of conscious reflection. Our beliefs, goals, and decisions are only ever active in the background of consciousness, working behind the scenes to select the sensory-based imagery that occurs in working memory. They are never themselves conscious. Drawing on extensive knowledge of the scientific literature on working memory and related topics, Carruthers builds an argument that challenges the central assumptions of many philosophers. In addition to arguing that non-sensory propositional attitudes are never conscious, he also shows that they are never under direct intentional control. Written with his usual clarity and directness, The Centered Mind will be essential reading for all philosophers and cognitive scientists interested in the nature of human thought processes.","author":[{"dropping-particle":"","family":"Charruters","given":"Peter","non-dropping-particle":"","parse-names":false,"suffix":""}],"container-title":"Philosophical Psychology","id":"ITEM-1","issue":"5","issued":{"date-parts":[["2015"]]},"page":"685-688","publisher":"Oxford University","title":"The centered mind: What the science of working memory shows us about the nature of human thought","type":"article","volume":"30"},"uris":["http://www.mendeley.com/documents/?uuid=da73be2d-058d-4a23-a4c3-92a125e00660"]}],"mendeley":{"formattedCitation":"(Charruters, 2015)","manualFormatting":"Charruters  (2015)","plainTextFormattedCitation":"(Charruters, 2015)","previouslyFormattedCitation":"(Charruters, 2015)"},"properties":{"noteIndex":0},"schema":"https://github.com/citation-style-language/schema/raw/master/csl-citation.json"}</w:instrText>
      </w:r>
      <w:r w:rsidRPr="002A6CAC">
        <w:rPr>
          <w:rFonts w:cs="Times New Roman"/>
        </w:rPr>
        <w:fldChar w:fldCharType="separate"/>
      </w:r>
      <w:r w:rsidRPr="002A6CAC">
        <w:rPr>
          <w:rFonts w:cs="Times New Roman"/>
          <w:noProof/>
        </w:rPr>
        <w:t>Charruters  (2015)</w:t>
      </w:r>
      <w:r w:rsidRPr="002A6CAC">
        <w:rPr>
          <w:rFonts w:cs="Times New Roman"/>
        </w:rPr>
        <w:fldChar w:fldCharType="end"/>
      </w:r>
      <w:r w:rsidRPr="002A6CAC">
        <w:rPr>
          <w:rFonts w:cs="Times New Roman"/>
        </w:rPr>
        <w:t xml:space="preserve">; </w:t>
      </w:r>
      <w:r w:rsidRPr="002A6CAC">
        <w:rPr>
          <w:rFonts w:cs="Times New Roman"/>
        </w:rPr>
        <w:fldChar w:fldCharType="begin" w:fldLock="1"/>
      </w:r>
      <w:r w:rsidRPr="002A6CAC">
        <w:rPr>
          <w:rFonts w:cs="Times New Roman"/>
        </w:rPr>
        <w:instrText>ADDIN CSL_CITATION {"citationItems":[{"id":"ITEM-1","itemData":{"author":[{"dropping-particle":"","family":"Landau","given":"B","non-dropping-particle":"","parse-names":false,"suffix":""}],"id":"ITEM-1","issued":{"date-parts":[["2016"]]},"title":"Understanding Cognitive Development: Approaches from Mind and Brain","type":"article"},"uris":["http://www.mendeley.com/documents/?uuid=d45bb3e9-2b83-4c1f-957c-a08ee1bbb54f"]}],"mendeley":{"formattedCitation":"(Landau, 2016)","manualFormatting":"Landau (2016)","plainTextFormattedCitation":"(Landau, 2016)","previouslyFormattedCitation":"(Landau, 2016)"},"properties":{"noteIndex":0},"schema":"https://github.com/citation-style-language/schema/raw/master/csl-citation.json"}</w:instrText>
      </w:r>
      <w:r w:rsidRPr="002A6CAC">
        <w:rPr>
          <w:rFonts w:cs="Times New Roman"/>
        </w:rPr>
        <w:fldChar w:fldCharType="separate"/>
      </w:r>
      <w:r w:rsidRPr="002A6CAC">
        <w:rPr>
          <w:rFonts w:cs="Times New Roman"/>
          <w:noProof/>
        </w:rPr>
        <w:t>Landau (2016)</w:t>
      </w:r>
      <w:r w:rsidRPr="002A6CAC">
        <w:rPr>
          <w:rFonts w:cs="Times New Roman"/>
        </w:rPr>
        <w:fldChar w:fldCharType="end"/>
      </w:r>
      <w:r w:rsidRPr="002A6CAC">
        <w:rPr>
          <w:rFonts w:cs="Times New Roman"/>
        </w:rPr>
        <w:t xml:space="preserve">: </w:t>
      </w:r>
      <w:r w:rsidRPr="002A6CAC">
        <w:rPr>
          <w:rFonts w:cs="Times New Roman"/>
        </w:rPr>
        <w:fldChar w:fldCharType="begin" w:fldLock="1"/>
      </w:r>
      <w:r w:rsidRPr="002A6CAC">
        <w:rPr>
          <w:rFonts w:cs="Times New Roman"/>
        </w:rPr>
        <w:instrText>ADDIN CSL_CITATION {"citationItems":[{"id":"ITEM-1","itemData":{"author":[{"dropping-particle":"","family":"Goldrick","given":"Matthew; Victor Fereira; Michele Miozzo","non-dropping-particle":"","parse-names":false,"suffix":""}],"id":"ITEM-1","issued":{"date-parts":[["2014"]]},"publisher":"Oxford University","publisher-place":"oxford","title":"The Oxford Handbook of Language Production - Matthew Goldrick; Victor Ferreira; Michele Miozzo; - Oxford University Press","type":"article"},"uris":["http://www.mendeley.com/documents/?uuid=9966a1ed-e3f1-4409-ad05-5a70b75db49b"]}],"mendeley":{"formattedCitation":"(Goldrick, 2014)","manualFormatting":"Goldrick, et al, eds. (2014)","plainTextFormattedCitation":"(Goldrick, 2014)","previouslyFormattedCitation":"(Goldrick, 2014)"},"properties":{"noteIndex":0},"schema":"https://github.com/citation-style-language/schema/raw/master/csl-citation.json"}</w:instrText>
      </w:r>
      <w:r w:rsidRPr="002A6CAC">
        <w:rPr>
          <w:rFonts w:cs="Times New Roman"/>
        </w:rPr>
        <w:fldChar w:fldCharType="separate"/>
      </w:r>
      <w:r w:rsidRPr="002A6CAC">
        <w:rPr>
          <w:rFonts w:cs="Times New Roman"/>
          <w:noProof/>
        </w:rPr>
        <w:t>Goldrick, et al, eds. (2014)</w:t>
      </w:r>
      <w:r w:rsidRPr="002A6CAC">
        <w:rPr>
          <w:rFonts w:cs="Times New Roman"/>
        </w:rPr>
        <w:fldChar w:fldCharType="end"/>
      </w:r>
      <w:r w:rsidRPr="002A6CAC">
        <w:rPr>
          <w:rFonts w:cs="Times New Roman"/>
        </w:rPr>
        <w:t xml:space="preserve"> yakni pengetahuan, pemahaman, dan kesadaran sebagai bagaian inti dari pikiran seseorang. Kondisi lingkungan, yakni kelestarian lingkungan melalui pengelolaan sampah sebagai aspek non kognitif yang berada di luar dirinya. Kajian tentang persepsi kelompok milenial terhadap pelestarian lingkungan melalui pengelolaan sampah menjadi urgen mengingat generasi kelompok ini bertanggung jawab dalam pelestarian lingkungan melalui tingkat kompetensi kognitif dan non kognitif sebagaimana digambarkan dalam relativisme dan determinisme Safir-Whorf. </w:t>
      </w:r>
    </w:p>
    <w:p w14:paraId="53533194" w14:textId="77777777" w:rsidR="002A6CAC" w:rsidRPr="002A6CAC" w:rsidRDefault="002A6CAC" w:rsidP="002A6CAC">
      <w:pPr>
        <w:ind w:left="0" w:firstLine="720"/>
        <w:rPr>
          <w:rFonts w:cs="Times New Roman"/>
        </w:rPr>
      </w:pPr>
      <w:r w:rsidRPr="002A6CAC">
        <w:rPr>
          <w:rFonts w:cs="Times New Roman"/>
        </w:rPr>
        <w:t xml:space="preserve">Proposisi adalah produk kognitif atau persepsi berbentuk pernyataan kebahasaan (frasa) tentang sesuatu dalam lingkungannya. Secara kontekstual pengetahuan dan pemahaman tentang sampah dan kelestarian lingkungan adalah aspek kognitif dalam pandangan relativitas, sedangkan persepsinya terhadap sampah dan lingkungan merupakan realisasi determinisme. Kemampuan   kognitif tentang sampah dan kelestarian lingkungan, serta persepsi yang timbul merupakan dua frasa yang secara kognitif berkaitan langsung. Hubungan ini dapat dibuktikan melalui pernyataan </w:t>
      </w:r>
      <w:r w:rsidRPr="002A6CAC">
        <w:rPr>
          <w:rFonts w:cs="Times New Roman"/>
        </w:rPr>
        <w:fldChar w:fldCharType="begin" w:fldLock="1"/>
      </w:r>
      <w:r w:rsidRPr="002A6CAC">
        <w:rPr>
          <w:rFonts w:cs="Times New Roman"/>
        </w:rPr>
        <w:instrText>ADDIN CSL_CITATION {"citationItems":[{"id":"ITEM-1","itemData":{"DOI":"10.1007/s41809-019-00047-z","ISBN":"4180901900","ISSN":"2520-100X","author":[{"dropping-particle":"","family":"Vulchanova","given":"Mila","non-dropping-particle":"","parse-names":false,"suffix":""},{"dropping-particle":"","family":"Vulchanov","given":"Valentin","non-dropping-particle":"","parse-names":false,"suffix":""},{"dropping-particle":"","family":"Fritz","given":"Isabella","non-dropping-particle":"","parse-names":false,"suffix":""},{"dropping-particle":"","family":"Milburn","given":"Evelyn A.","non-dropping-particle":"","parse-names":false,"suffix":""}],"container-title":"Journal of Cultural Cognitive Science","id":"ITEM-1","issue":"2","issued":{"date-parts":[["2019"]]},"page":"103-112","publisher":"Springer Singapore","title":"Language and perception: Introduction to the Special Issue “Speakers and Listeners in the Visual World”","type":"article-journal","volume":"3"},"uris":["http://www.mendeley.com/documents/?uuid=75a044df-cab3-468c-bbf8-45d3228253de"]}],"mendeley":{"formattedCitation":"(Vulchanova, Vulchanov, Fritz, &amp; Milburn, 2019)","manualFormatting":"Vulchanova, Fritz, &amp; Milburn (2019)","plainTextFormattedCitation":"(Vulchanova, Vulchanov, Fritz, &amp; Milburn, 2019)","previouslyFormattedCitation":"(Vulchanova, Vulchanov, Fritz, &amp; Milburn, 2019)"},"properties":{"noteIndex":0},"schema":"https://github.com/citation-style-language/schema/raw/master/csl-citation.json"}</w:instrText>
      </w:r>
      <w:r w:rsidRPr="002A6CAC">
        <w:rPr>
          <w:rFonts w:cs="Times New Roman"/>
        </w:rPr>
        <w:fldChar w:fldCharType="separate"/>
      </w:r>
      <w:r w:rsidRPr="002A6CAC">
        <w:rPr>
          <w:rFonts w:cs="Times New Roman"/>
          <w:noProof/>
        </w:rPr>
        <w:t>Vulchanova, Fritz, &amp; Milburn (2019)</w:t>
      </w:r>
      <w:r w:rsidRPr="002A6CAC">
        <w:rPr>
          <w:rFonts w:cs="Times New Roman"/>
        </w:rPr>
        <w:fldChar w:fldCharType="end"/>
      </w:r>
      <w:r w:rsidRPr="002A6CAC">
        <w:rPr>
          <w:rFonts w:cs="Times New Roman"/>
        </w:rPr>
        <w:t xml:space="preserve"> bahwa kompetensi tentang lingkungan dan sampah merupakan aspek kognitif yang saling berinteraksi dengan persepsi terhadap keduanya. Mengacu pandangan Safir-Whorf, </w:t>
      </w:r>
      <w:r w:rsidRPr="002A6CAC">
        <w:rPr>
          <w:rFonts w:cs="Times New Roman"/>
        </w:rPr>
        <w:fldChar w:fldCharType="begin" w:fldLock="1"/>
      </w:r>
      <w:r w:rsidRPr="002A6CAC">
        <w:rPr>
          <w:rFonts w:cs="Times New Roman"/>
        </w:rPr>
        <w:instrText>ADDIN CSL_CITATION {"citationItems":[{"id":"ITEM-1","itemData":{"DOI":"10.3389/fpsyg.2012.00078","ISSN":"16641078","abstract":"The relationship of language, perception, and action has been the focus of recent studies exploring the representation of conceptual knowledge. A substantial literature has emerged, providing ample demonstrations of the intimate relationship between language and perception. The appropriate characterization of these interactions remains an important challenge. Recent evidence involving visual search tasks has led to the hypothesis that top-down input from linguistic representations may sharpen visual feature detectors, suggesting a direct influence of language on early visual perception.We present two experiments to explore this hypothesis. Experiment 1 demonstrates that the benefits of linguistic priming in visual search may arise from a reduction in the demands on working memory. Experiment 2 presents a situation in which visual search performance is disrupted by the automatic activation of irrelevant linguistic representations, a result consistent with the idea that linguistic and sensory representations interact at a late, response-selection stage of processing. These results raise a cautionary note: While language can influence performance on a visual search, the influence need not arise from a change in perception per se. © 2012 Klemfuss, Prinzmetal and Ivry.","author":[{"dropping-particle":"","family":"Klemfuss","given":"Nola","non-dropping-particle":"","parse-names":false,"suffix":""},{"dropping-particle":"","family":"Prinzmetal","given":"William","non-dropping-particle":"","parse-names":false,"suffix":""},{"dropping-particle":"","family":"Ivry","given":"Richard B.","non-dropping-particle":"","parse-names":false,"suffix":""}],"container-title":"Frontiers in Psychology","id":"ITEM-1","issue":"MAR","issued":{"date-parts":[["2012"]]},"page":"1-6","title":"How does language change perception: A cautionary note","type":"article-journal","volume":"3"},"uris":["http://www.mendeley.com/documents/?uuid=d93140e7-a572-431d-a9e7-50f377e1cdb7"]}],"mendeley":{"formattedCitation":"(Klemfuss, Prinzmetal, &amp; Ivry, 2012)","manualFormatting":"Klemfuss, Prinzmetal, &amp; Ivry (2012)","plainTextFormattedCitation":"(Klemfuss, Prinzmetal, &amp; Ivry, 2012)","previouslyFormattedCitation":"(Klemfuss, Prinzmetal, &amp; Ivry, 2012)"},"properties":{"noteIndex":0},"schema":"https://github.com/citation-style-language/schema/raw/master/csl-citation.json"}</w:instrText>
      </w:r>
      <w:r w:rsidRPr="002A6CAC">
        <w:rPr>
          <w:rFonts w:cs="Times New Roman"/>
        </w:rPr>
        <w:fldChar w:fldCharType="separate"/>
      </w:r>
      <w:r w:rsidRPr="002A6CAC">
        <w:rPr>
          <w:rFonts w:cs="Times New Roman"/>
          <w:noProof/>
        </w:rPr>
        <w:t>Klemfuss, Prinzmetal, &amp; Ivry (2012)</w:t>
      </w:r>
      <w:r w:rsidRPr="002A6CAC">
        <w:rPr>
          <w:rFonts w:cs="Times New Roman"/>
        </w:rPr>
        <w:fldChar w:fldCharType="end"/>
      </w:r>
      <w:r w:rsidRPr="002A6CAC">
        <w:rPr>
          <w:rFonts w:cs="Times New Roman"/>
        </w:rPr>
        <w:t xml:space="preserve"> menguatkan pandangan Vulchanova et al bahwa interaksi persepsi kognitif akan mempengaruhi psikologi, termasuk sikap sebagaimana dikatakan </w:t>
      </w:r>
      <w:r w:rsidRPr="002A6CAC">
        <w:rPr>
          <w:rFonts w:cs="Times New Roman"/>
        </w:rPr>
        <w:fldChar w:fldCharType="begin" w:fldLock="1"/>
      </w:r>
      <w:r w:rsidRPr="002A6CAC">
        <w:rPr>
          <w:rFonts w:cs="Times New Roman"/>
        </w:rPr>
        <w:instrText>ADDIN CSL_CITATION {"citationItems":[{"id":"ITEM-1","itemData":{"DOI":"10.17507/jltr.0806.20","ISSN":"1798-4769","abstract":"This paper reports the competence of the English Foreign Language (EFL) Senior High School (SHS) teachers in Papua, Indonesia which sought to investigate the EFL SHS teachers’ perception towards their own competence. This cross-sectional survey research design applied multistage sampling technique in determining the sample of the study. There were 159 EFL SHS teachers from six selected townships in Papua as the sample. The researchers employed questionnaire and interview as the instrument for collecting data. Data were analyzed utilizing descriptive statistics to run for frequencies and percentages. The result revealed that the EFL SHS teachers in Papua perceived that their teacher competence was good. As the majority of the respondents (91.8%) contended that they possessed good competency and only a few of respondents (8.2%) claimed that their competence was very good. None of the respondents asserted either they have poor or fairly good competence.","author":[{"dropping-particle":"","family":"Rinantanti","given":"Yulini","non-dropping-particle":"","parse-names":false,"suffix":""},{"dropping-particle":"","family":"Rahman","given":"Muhammad Asfah","non-dropping-particle":"","parse-names":false,"suffix":""},{"dropping-particle":"","family":"Atmowardoyo","given":"Haryanto","non-dropping-particle":"","parse-names":false,"suffix":""},{"dropping-particle":"","family":"Bin-Tahir","given":"Saidna Z.","non-dropping-particle":"","parse-names":false,"suffix":""}],"container-title":"Journal of Language Teaching and Research","id":"ITEM-1","issue":"6","issued":{"date-parts":[["2017"]]},"page":"1181","title":"Perception of Senior High School EFL Teachers in Papua, Indonesia towards Their Own Competence","type":"article-journal","volume":"8"},"uris":["http://www.mendeley.com/documents/?uuid=36354a8a-1219-4ed3-97c4-3d43aa58b846"]}],"mendeley":{"formattedCitation":"(Rinantanti, Rahman, Atmowardoyo, &amp; Bin-Tahir, 2017)","manualFormatting":"Rinantanti, Rahman, Atmowardoyo, &amp; Bin-Tahir (2017)","plainTextFormattedCitation":"(Rinantanti, Rahman, Atmowardoyo, &amp; Bin-Tahir, 2017)","previouslyFormattedCitation":"(Rinantanti, Rahman, Atmowardoyo, &amp; Bin-Tahir, 2017)"},"properties":{"noteIndex":0},"schema":"https://github.com/citation-style-language/schema/raw/master/csl-citation.json"}</w:instrText>
      </w:r>
      <w:r w:rsidRPr="002A6CAC">
        <w:rPr>
          <w:rFonts w:cs="Times New Roman"/>
        </w:rPr>
        <w:fldChar w:fldCharType="separate"/>
      </w:r>
      <w:r w:rsidRPr="002A6CAC">
        <w:rPr>
          <w:rFonts w:cs="Times New Roman"/>
          <w:noProof/>
        </w:rPr>
        <w:t>Rinantanti, Rahman, Atmowardoyo, &amp; Bin-Tahir (2017)</w:t>
      </w:r>
      <w:r w:rsidRPr="002A6CAC">
        <w:rPr>
          <w:rFonts w:cs="Times New Roman"/>
        </w:rPr>
        <w:fldChar w:fldCharType="end"/>
      </w:r>
      <w:r w:rsidRPr="002A6CAC">
        <w:rPr>
          <w:rFonts w:cs="Times New Roman"/>
        </w:rPr>
        <w:t xml:space="preserve"> untuk melakukan satu tindakan terkait persepsinya. Millenial adalah kelompok usia remaja dan memiliki tanggung jawab dalam pelestarian lingungan. Melalui teori dan kajian terkait sebelumnya, kajian ini bertujuan memetakan tingkat persepsi kalangan milenial terhadap proposisi bahasa Indonesia yang berkaitan dengan sampah. Persepsi merujuk pada pengetahuan dan pemahaman tentang proposisi, dan diharapkan mereka memiliki kesadaran dan agenda dalam menciptakan lingkungan yang lestari.</w:t>
      </w:r>
    </w:p>
    <w:p w14:paraId="39A1CB50" w14:textId="77777777" w:rsidR="002A6CAC" w:rsidRPr="002A6CAC" w:rsidRDefault="002A6CAC" w:rsidP="002A6CAC">
      <w:pPr>
        <w:ind w:left="0" w:firstLine="720"/>
        <w:rPr>
          <w:rFonts w:cs="Times New Roman"/>
        </w:rPr>
      </w:pPr>
      <w:r w:rsidRPr="002A6CAC">
        <w:rPr>
          <w:rFonts w:cs="Times New Roman"/>
        </w:rPr>
        <w:fldChar w:fldCharType="begin" w:fldLock="1"/>
      </w:r>
      <w:r w:rsidRPr="002A6CAC">
        <w:rPr>
          <w:rFonts w:cs="Times New Roman"/>
        </w:rPr>
        <w:instrText>ADDIN CSL_CITATION {"citationItems":[{"id":"ITEM-1","itemData":{"author":[{"dropping-particle":"","family":"David S. Wible and C. Harry","given":"","non-dropping-particle":"","parse-names":false,"suffix":""}],"container-title":"journal of cross-cultural philosophy","id":"ITEM-1","issue":"2","issued":{"date-parts":[["1985"]]},"title":"Perceived Language Profeciency and Person Perception","type":"article-journal","volume":"16"},"uris":["http://www.mendeley.com/documents/?uuid=5d078929-43bc-4e9a-9427-93f943a73bf1"]}],"mendeley":{"formattedCitation":"(David S. Wible and C. Harry, 1985)","manualFormatting":" Wible and C. Harry (1985)","plainTextFormattedCitation":"(David S. Wible and C. Harry, 1985)","previouslyFormattedCitation":"(David S. Wible and C. Harry, 1985)"},"properties":{"noteIndex":0},"schema":"https://github.com/citation-style-language/schema/raw/master/csl-citation.json"}</w:instrText>
      </w:r>
      <w:r w:rsidRPr="002A6CAC">
        <w:rPr>
          <w:rFonts w:cs="Times New Roman"/>
        </w:rPr>
        <w:fldChar w:fldCharType="separate"/>
      </w:r>
      <w:r w:rsidRPr="002A6CAC">
        <w:rPr>
          <w:rFonts w:cs="Times New Roman"/>
          <w:noProof/>
        </w:rPr>
        <w:t xml:space="preserve"> Wible and C. Harry (1985)</w:t>
      </w:r>
      <w:r w:rsidRPr="002A6CAC">
        <w:rPr>
          <w:rFonts w:cs="Times New Roman"/>
        </w:rPr>
        <w:fldChar w:fldCharType="end"/>
      </w:r>
      <w:r w:rsidRPr="002A6CAC">
        <w:rPr>
          <w:rFonts w:cs="Times New Roman"/>
        </w:rPr>
        <w:t xml:space="preserve"> melakukan kajian terhadap kemahiran bahasa dan persepsi individual penutur bahasa. Mengacu teori sikap bahasa dan budaya penutur bahasa Lambert, Hodgson, Gardner, dan Fillenbaum, Wible dan Hui menemukan beberapa persepsi penutur bahasa Mandarin ketika bahasa Madarin dituturkan oleh penutur dari Amerika. Penutur bahasa Mandarin terbelah dalam dua persepsi, yakni persepsi positif dan negatif. Kajian Wible dan Hui tidak berkaitan langsung dengan substansi teori dan metode kajian ini, namun memberikan gambaran tentang tingkatan persepsi sebagaimana yang akan ditemukan melalui kajian ini. </w:t>
      </w:r>
      <w:r w:rsidRPr="002A6CAC">
        <w:rPr>
          <w:rFonts w:cs="Times New Roman"/>
        </w:rPr>
        <w:fldChar w:fldCharType="begin" w:fldLock="1"/>
      </w:r>
      <w:r w:rsidRPr="002A6CAC">
        <w:rPr>
          <w:rFonts w:cs="Times New Roman"/>
        </w:rPr>
        <w:instrText>ADDIN CSL_CITATION {"citationItems":[{"id":"ITEM-1","itemData":{"DOI":"10.1016/j.adolescence.2018.08.005","ISSN":"10959254","abstract":"Introduction: The pervasive and derogatory use of homophobic language is a threat to safe, respectful, and inclusive school environments. Group membership has been shown to influence how students use homophobic language. Previous qualitative studies have largely approached the use of this language from the theoretical framework of hegemonic masculinity. In contrast, the current study actively challenged all assumptions about the use of this language. Method: This study was conducted in a public high school located in a rural conservative Christian community in the Intermountain West (USA). Using hermeneutic qualitative methodology to assess individual perceptions of homophobic language, 20 randomly selected 12th-grade male students (17–18 years of age) were individually interviewed. Results: Three distinct groups emerged during our interviews: students on the debate team, students who strongly identified with a conservative religion, and students on popular athletic teams. Membership in specific peer groups influenced how students participated in or abstained from using homophobic language. Contrary to the prevailing research that pairs religiosity with negatively biased attitudes toward LGBTQIA, in this study, participants’ religious beliefs appeared to be associated with respecting others’ feelings and a decreased likelihood of using homophobic language. Conclusions: After summarizing this study's findings, we conclude with implications for practice. To more effectively deter the use of homophobic language, we encourage school-based interventions that target specific groups of adolescents and consider the social context in which homophobic language occurs.","author":[{"dropping-particle":"","family":"Bailey","given":"Benjamin M.","non-dropping-particle":"","parse-names":false,"suffix":""},{"dropping-particle":"","family":"Heath","given":"Melissa Allen","non-dropping-particle":"","parse-names":false,"suffix":""},{"dropping-particle":"","family":"Jackson","given":"Aaron P.","non-dropping-particle":"","parse-names":false,"suffix":""},{"dropping-particle":"","family":"Coyne","given":"Sarah M.","non-dropping-particle":"","parse-names":false,"suffix":""},{"dropping-particle":"","family":"Williams","given":"Marleen S.","non-dropping-particle":"","parse-names":false,"suffix":""}],"container-title":"Journal of Adolescence","id":"ITEM-1","issue":"August","issued":{"date-parts":[["2018"]]},"page":"1-10","publisher":"Elsevier","title":"The influence of group values and behavior on adolescent male perceptions of and use of homophobic language","type":"article-journal","volume":"69"},"uris":["http://www.mendeley.com/documents/?uuid=29ca8809-17bd-4f2e-b39a-b05deac2c70c"]}],"mendeley":{"formattedCitation":"(Bailey, Heath, Jackson, Coyne, &amp; Williams, 2018)","manualFormatting":"Bailey, Heath, Jackson, Coyne, &amp; Williams (2018)","plainTextFormattedCitation":"(Bailey, Heath, Jackson, Coyne, &amp; Williams, 2018)","previouslyFormattedCitation":"(Bailey, Heath, Jackson, Coyne, &amp; Williams, 2018)"},"properties":{"noteIndex":0},"schema":"https://github.com/citation-style-language/schema/raw/master/csl-citation.json"}</w:instrText>
      </w:r>
      <w:r w:rsidRPr="002A6CAC">
        <w:rPr>
          <w:rFonts w:cs="Times New Roman"/>
        </w:rPr>
        <w:fldChar w:fldCharType="separate"/>
      </w:r>
      <w:r w:rsidRPr="002A6CAC">
        <w:rPr>
          <w:rFonts w:cs="Times New Roman"/>
          <w:noProof/>
        </w:rPr>
        <w:t>Bailey, Heath, Jackson, Coyne, &amp; Williams (2018)</w:t>
      </w:r>
      <w:r w:rsidRPr="002A6CAC">
        <w:rPr>
          <w:rFonts w:cs="Times New Roman"/>
        </w:rPr>
        <w:fldChar w:fldCharType="end"/>
      </w:r>
      <w:r w:rsidRPr="002A6CAC">
        <w:rPr>
          <w:rFonts w:cs="Times New Roman"/>
        </w:rPr>
        <w:t xml:space="preserve"> menemukan hubungan positif antara persepsi remaja di sekolah pedesaan di Amerika terhadap jenis bahasa homophobic dengan sikap terhadap lawan jenis yang seusia mereka. Bahasa homophobic adalah bahasa-bahasa yang cenderung melecehkan wanita karena terkait dengan organ-organ sensitif wanita, yang memunculkan tindakan </w:t>
      </w:r>
      <w:r w:rsidRPr="002A6CAC">
        <w:rPr>
          <w:rFonts w:cs="Times New Roman"/>
          <w:i/>
          <w:iCs/>
        </w:rPr>
        <w:t>bullying</w:t>
      </w:r>
      <w:r w:rsidRPr="002A6CAC">
        <w:rPr>
          <w:rFonts w:cs="Times New Roman"/>
        </w:rPr>
        <w:t xml:space="preserve"> terhadap remaja wanita, dan tampak sangat diskriminatif. Jelas menurut Bailey, dkk. bahwa sikap dan tindakan remaja pria terhadap remaja wanita dipengaruhi oleh persepsi terhadap bahasa homophobic. Kajian unik lain yang berkaitan dengan maksud kajian ini dilakukan oleh </w:t>
      </w:r>
      <w:r w:rsidRPr="002A6CAC">
        <w:rPr>
          <w:rFonts w:cs="Times New Roman"/>
        </w:rPr>
        <w:fldChar w:fldCharType="begin" w:fldLock="1"/>
      </w:r>
      <w:r w:rsidRPr="002A6CAC">
        <w:rPr>
          <w:rFonts w:cs="Times New Roman"/>
        </w:rPr>
        <w:instrText>ADDIN CSL_CITATION {"citationItems":[{"id":"ITEM-1","itemData":{"DOI":"10.1016/j.jisa.2019.05.001","ISSN":"22142126","abstract":"There is an increasing shift in technology towards biometric solutions, but one of the biggest barriers to widespread use is the acceptance by the users. In this paper we investigate the understanding, awareness and acceptance of biometrics by the general public. The primary research method was a survey, which had 282 respondents, designed to gauge public opinion around biometrics. Additionally, qualitative data was captured in the form of the participants’ definition of the term biometrics. We applied thematic analysis as well as an automated Word Vector analysis to this data to provide a deeper insight into the perceptions and understanding of the term. Our results demonstrate that while there is generally a reasonable level of understanding of what biometrics are, this is typically limited to the techniques that are most familiar to participants (e.g., fingerprints or facial recognition). Most notably individuals’ awareness overlooks emerging areas such as behavioural biometrics (e.g., gait). This was also apparent when we compared participants’ views to definitions provided by official, published sources (e.g., ISO, NIST, OED, DHS). Overall, this article provides unique insight into the perceptions and understanding of biometrics as well as areas where users may lack knowledge on biometric applications.","author":[{"dropping-particle":"","family":"Buckley","given":"Oliver","non-dropping-particle":"","parse-names":false,"suffix":""},{"dropping-particle":"","family":"Nurse","given":"Jason R.C.","non-dropping-particle":"","parse-names":false,"suffix":""}],"container-title":"Journal of Information Security and Applications","id":"ITEM-1","issued":{"date-parts":[["2019"]]},"page":"112-119","publisher":"Elsevier Ltd","title":"The language of biometrics: Analysing public perceptions","type":"article-journal","volume":"47"},"uris":["http://www.mendeley.com/documents/?uuid=ef50f1d6-7ea5-4242-82fe-7d416bbc7df0"]}],"mendeley":{"formattedCitation":"(Buckley &amp; Nurse, 2019)","manualFormatting":"Buckley &amp; Nurse (2019)","plainTextFormattedCitation":"(Buckley &amp; Nurse, 2019)","previouslyFormattedCitation":"(Buckley &amp; Nurse, 2019)"},"properties":{"noteIndex":0},"schema":"https://github.com/citation-style-language/schema/raw/master/csl-citation.json"}</w:instrText>
      </w:r>
      <w:r w:rsidRPr="002A6CAC">
        <w:rPr>
          <w:rFonts w:cs="Times New Roman"/>
        </w:rPr>
        <w:fldChar w:fldCharType="separate"/>
      </w:r>
      <w:r w:rsidRPr="002A6CAC">
        <w:rPr>
          <w:rFonts w:cs="Times New Roman"/>
          <w:noProof/>
        </w:rPr>
        <w:t>Buckley &amp; Nurse (2019)</w:t>
      </w:r>
      <w:r w:rsidRPr="002A6CAC">
        <w:rPr>
          <w:rFonts w:cs="Times New Roman"/>
        </w:rPr>
        <w:fldChar w:fldCharType="end"/>
      </w:r>
      <w:r w:rsidRPr="002A6CAC">
        <w:rPr>
          <w:rFonts w:cs="Times New Roman"/>
        </w:rPr>
        <w:t xml:space="preserve"> tentang persepsi masyarakat Inggris terhadap bahasa biometrik. Kajian ini menemukan fakta bahwa mayoritas masyarakat Inggris memiliki pemahaman yang baik tentang makna, tujuan, dan manfaat bahasa dan teknologi biometrik. Bahasa dan teknologi biometrik bermanfaat bagi data pribadi secara fisik, yang dapat menghindari resiko korban kejahatan. Senada dengan Bailey, dkk. persepsi atas bentuk bahasa akan berpengaruh pada sikap dan tindakan atas persepsi terhadap bahasa tersebut. </w:t>
      </w:r>
    </w:p>
    <w:p w14:paraId="0F01A005" w14:textId="77777777" w:rsidR="002A6CAC" w:rsidRPr="002A6CAC" w:rsidRDefault="002A6CAC" w:rsidP="002A6CAC">
      <w:pPr>
        <w:ind w:left="0"/>
        <w:rPr>
          <w:rFonts w:cs="Times New Roman"/>
        </w:rPr>
      </w:pPr>
      <w:r w:rsidRPr="002A6CAC">
        <w:rPr>
          <w:rFonts w:cs="Times New Roman"/>
        </w:rPr>
        <w:lastRenderedPageBreak/>
        <w:tab/>
        <w:t xml:space="preserve">Selain persepsi terhadap bahasa, upaya-upaya peningkatan keterampilan berbahasa penting dipertimbangkan dalam kajian tentang persepsi proposisi bahasa Indonesia berbasis sampah. Kajian atas keberadaan kursus English Spesific Purposes/ESP oleh </w:t>
      </w:r>
      <w:r w:rsidRPr="002A6CAC">
        <w:rPr>
          <w:rFonts w:cs="Times New Roman"/>
        </w:rPr>
        <w:fldChar w:fldCharType="begin" w:fldLock="1"/>
      </w:r>
      <w:r w:rsidRPr="002A6CAC">
        <w:rPr>
          <w:rFonts w:cs="Times New Roman"/>
        </w:rPr>
        <w:instrText>ADDIN CSL_CITATION {"citationItems":[{"id":"ITEM-1","itemData":{"DOI":"10.1016/j.jeap.2019.100797","ISSN":"14751585","abstract":"This study examines how Saudi undergraduate students perceive the impact of their courses in English for General Purposes (EGP) and English for Specific Purposes (ESP) on their academic language improvement and usage in degree courses in which English is the medium of instruction. Students were surveyed to collect their views regarding their struggles with academic speaking, writing, reading and listening. The questionnaire, adopted from Evans and Green (2007), was supplemented with interviews and focus group discussions. The results indicate that recognising the meanings of unfamiliar terms was the students’ greatest difficulty that resulted in poor performance in all four English skills. The students had considerable appreciation for the ESP course, particularly in enhancing their knowledge of technical terms, while they complained that EGP and ESP courses failed to enhance their overall English ability. They pointed out inadequacies linked to the way the courses were implemented and offered suggestions that should be considered when planning future courses. This article concludes by discussing the implications of the study in the Saudi context.","author":[{"dropping-particle":"","family":"Gaffas","given":"Zainab M.","non-dropping-particle":"","parse-names":false,"suffix":""}],"container-title":"Journal of English for Academic Purposes","id":"ITEM-1","issued":{"date-parts":[["2019"]]},"page":"100797","publisher":"Elsevier Ltd","title":"Students’ perceptions of the impact of EGP and ESP courses on their English language development: Voices from Saudi Arabia","type":"article-journal","volume":"42"},"uris":["http://www.mendeley.com/documents/?uuid=cd5f3fe4-92db-4957-939e-e73b232082f0"]}],"mendeley":{"formattedCitation":"(Gaffas, 2019)","manualFormatting":"Gaffas (2019)","plainTextFormattedCitation":"(Gaffas, 2019)","previouslyFormattedCitation":"(Gaffas, 2019)"},"properties":{"noteIndex":0},"schema":"https://github.com/citation-style-language/schema/raw/master/csl-citation.json"}</w:instrText>
      </w:r>
      <w:r w:rsidRPr="002A6CAC">
        <w:rPr>
          <w:rFonts w:cs="Times New Roman"/>
        </w:rPr>
        <w:fldChar w:fldCharType="separate"/>
      </w:r>
      <w:r w:rsidRPr="002A6CAC">
        <w:rPr>
          <w:rFonts w:cs="Times New Roman"/>
          <w:noProof/>
        </w:rPr>
        <w:t>Gaffas (2019)</w:t>
      </w:r>
      <w:r w:rsidRPr="002A6CAC">
        <w:rPr>
          <w:rFonts w:cs="Times New Roman"/>
        </w:rPr>
        <w:fldChar w:fldCharType="end"/>
      </w:r>
      <w:r w:rsidRPr="002A6CAC">
        <w:rPr>
          <w:rFonts w:cs="Times New Roman"/>
        </w:rPr>
        <w:t xml:space="preserve"> di Saudi Arabia menunjukkan persepsi positif siswa berpengaruh positif terhadap peningkatan keterampilan berbahasa Inggris. Hubungan positif antara persepsi dengan keterampilan inilah yang meyemarakkan lembaga-lembaga kursus ESP di Saudi Arabia. Dalam kasus ini, jelas bahwa persepsi melahirkan agenda dan tindakan kongkret terkait hal yang dipersepsikannya melalui bahasa. </w:t>
      </w:r>
      <w:r w:rsidRPr="002A6CAC">
        <w:rPr>
          <w:rFonts w:cs="Times New Roman"/>
        </w:rPr>
        <w:fldChar w:fldCharType="begin" w:fldLock="1"/>
      </w:r>
      <w:r w:rsidRPr="002A6CAC">
        <w:rPr>
          <w:rFonts w:cs="Times New Roman"/>
        </w:rPr>
        <w:instrText>ADDIN CSL_CITATION {"citationItems":[{"id":"ITEM-1","itemData":{"DOI":"10.1016/j.jhlste.2018.05.001","ISSN":"14738376","abstract":"The study aims to (a) assess the level of student satisfaction with the tourism English courses provided by Korean universities; and (b) look at the ability of these courses to train students in the correct responses to the specific linguistic needs of the tourism profession. The Importance-Satisfaction Analysis (ISA) technique was used to increase the efficiency and success of the concentration on the alternative language needs of the tourism industry in Korea, and provide important practical data for those countries in which English is not the native language, in their quest to proactively develop potential employees for their tourism industries.","author":[{"dropping-particle":"","family":"Park","given":"Sang Hyeon","non-dropping-particle":"","parse-names":false,"suffix":""},{"dropping-particle":"","family":"Yoo","given":"Hyekyung","non-dropping-particle":"","parse-names":false,"suffix":""},{"dropping-particle":"","family":"Kim","given":"Kyoung Bae","non-dropping-particle":"","parse-names":false,"suffix":""},{"dropping-particle":"","family":"Lee","given":"Timothy J.","non-dropping-particle":"","parse-names":false,"suffix":""}],"container-title":"Journal of Hospitality, Leisure, Sport and Tourism Education","id":"ITEM-1","issue":"July 2017","issued":{"date-parts":[["2018"]]},"page":"59-69","publisher":"Elsevier Ltd","title":"Perceptions of university students of ‘tourism-focused English’ as a second language: The case of Korean universities","type":"article-journal","volume":"23"},"uris":["http://www.mendeley.com/documents/?uuid=b89163bf-8b0f-4a90-b6aa-ce75152f6285"]}],"mendeley":{"formattedCitation":"(Park, Yoo, Kim, &amp; Lee, 2018)","manualFormatting":"Park, Yoo, Kim, &amp; Lee (2018)","plainTextFormattedCitation":"(Park, Yoo, Kim, &amp; Lee, 2018)","previouslyFormattedCitation":"(Park, Yoo, Kim, &amp; Lee, 2018)"},"properties":{"noteIndex":0},"schema":"https://github.com/citation-style-language/schema/raw/master/csl-citation.json"}</w:instrText>
      </w:r>
      <w:r w:rsidRPr="002A6CAC">
        <w:rPr>
          <w:rFonts w:cs="Times New Roman"/>
        </w:rPr>
        <w:fldChar w:fldCharType="separate"/>
      </w:r>
      <w:r w:rsidRPr="002A6CAC">
        <w:rPr>
          <w:rFonts w:cs="Times New Roman"/>
          <w:noProof/>
        </w:rPr>
        <w:t>Park, Yoo, Kim, &amp; Lee (2018)</w:t>
      </w:r>
      <w:r w:rsidRPr="002A6CAC">
        <w:rPr>
          <w:rFonts w:cs="Times New Roman"/>
        </w:rPr>
        <w:fldChar w:fldCharType="end"/>
      </w:r>
      <w:r w:rsidRPr="002A6CAC">
        <w:rPr>
          <w:rFonts w:cs="Times New Roman"/>
        </w:rPr>
        <w:t xml:space="preserve"> dalam kajian tentang persepsi masyarakat Korea terhadap bahasa Inggris dalam bidang pariwisata menunjukkan hubungan positif antara persepsi positif terhadap sumbangan bahasa Inggris di bidang pariwisata. Hubungan positif inilah yang melahirkan ramainya kegiatan kursus bahasa Inggris, karena mereka merasakan bahwa dengan menguasai bahasa Inggris mereka lebih mudah memperoleh pekerjaan khususnya bidang pariwisata. Kajian tentang persepsi terhadap fenomena bahasa dapat disebut sebagai hal-hal yang serupa tapi tak sama. Analogi pembelajaran bahasa dengan persepsi positif terhadap bahasa Inggris yang berpengaruh positif terhadap peningkatan kemampuan berbahasa Inggris memunculkan keyakinan bahwa pemahaman yang baik tentang sampah dan lingkungan akan melahirkan persepsi positif terhadap keduanya. </w:t>
      </w:r>
    </w:p>
    <w:p w14:paraId="4C649F21" w14:textId="77777777" w:rsidR="002A6CAC" w:rsidRPr="002A6CAC" w:rsidRDefault="002A6CAC" w:rsidP="002A6CAC">
      <w:pPr>
        <w:ind w:left="0" w:firstLine="720"/>
        <w:rPr>
          <w:rFonts w:cs="Times New Roman"/>
        </w:rPr>
      </w:pPr>
      <w:r w:rsidRPr="002A6CAC">
        <w:rPr>
          <w:rFonts w:cs="Times New Roman"/>
        </w:rPr>
        <w:t xml:space="preserve">Banyak hal pada aneka bidang dikaitkan dengan persepsi dengan alat bahasa. </w:t>
      </w:r>
      <w:r w:rsidRPr="002A6CAC">
        <w:rPr>
          <w:rFonts w:cs="Times New Roman"/>
        </w:rPr>
        <w:fldChar w:fldCharType="begin" w:fldLock="1"/>
      </w:r>
      <w:r w:rsidRPr="002A6CAC">
        <w:rPr>
          <w:rFonts w:cs="Times New Roman"/>
        </w:rPr>
        <w:instrText>ADDIN CSL_CITATION {"citationItems":[{"id":"ITEM-1","itemData":{"DOI":"10.1016/j.jcomdis.2019.105936","ISSN":"18737994","abstract":"When considering the paucity of males in the speech-language pathology field and the continued interest to increase the diversity within the profession, the current study seeks to identify variables that may deter male students from choosing communication sciences and disorders as a major. Survey responses from 290 males from two universities were analyzed. Findings indicated male undergraduate students have minimal awareness of the speech-language-pathology profession. This was seen in overall knowledge as well as the scope of the practice. Overall, despite the limited awareness and knowledge of the profession, the students’ perceptions were positive towards the profession (e.g. intellectually challenging and requires independent thinking). Further reported perceptions and implications for future research are discussed.","author":[{"dropping-particle":"","family":"Puhlman","given":"Jane","non-dropping-particle":"","parse-names":false,"suffix":""},{"dropping-particle":"","family":"Johnson","given":"Rachel K.","non-dropping-particle":"","parse-names":false,"suffix":""}],"container-title":"Journal of Communication Disorders","id":"ITEM-1","issue":"October 2018","issued":{"date-parts":[["2019"]]},"page":"105936","publisher":"Elsevier","title":"Survey of male college students’ perceptions and knowledge of speech-language pathology","type":"article-journal","volume":"82"},"uris":["http://www.mendeley.com/documents/?uuid=6fd13471-8727-482b-8787-894c59471845"]}],"mendeley":{"formattedCitation":"(Puhlman &amp; Johnson, 2019)","manualFormatting":"Puhlman &amp; Johnson (2019)","plainTextFormattedCitation":"(Puhlman &amp; Johnson, 2019)","previouslyFormattedCitation":"(Puhlman &amp; Johnson, 2019)"},"properties":{"noteIndex":0},"schema":"https://github.com/citation-style-language/schema/raw/master/csl-citation.json"}</w:instrText>
      </w:r>
      <w:r w:rsidRPr="002A6CAC">
        <w:rPr>
          <w:rFonts w:cs="Times New Roman"/>
        </w:rPr>
        <w:fldChar w:fldCharType="separate"/>
      </w:r>
      <w:r w:rsidRPr="002A6CAC">
        <w:rPr>
          <w:rFonts w:cs="Times New Roman"/>
          <w:noProof/>
        </w:rPr>
        <w:t>Puhlman &amp; Johnson (2019)</w:t>
      </w:r>
      <w:r w:rsidRPr="002A6CAC">
        <w:rPr>
          <w:rFonts w:cs="Times New Roman"/>
        </w:rPr>
        <w:fldChar w:fldCharType="end"/>
      </w:r>
      <w:r w:rsidRPr="002A6CAC">
        <w:rPr>
          <w:rFonts w:cs="Times New Roman"/>
        </w:rPr>
        <w:t xml:space="preserve"> melakukan kajian terhadap persepsi mahasiswa pria dan wanita terhadap kata-kata yang berkaitan dengan patologi. Hasilnya menunjukkan, mahasiswa memiliki persepsi lebih rendah dibanding mahasiswi. Namun, mahasiswa lebih profesional dalam pekerjaan terkait dengan kata-kata terkait patologi. Temuan ini cukup menantang jika dikaitkan dengan persepsi milenial terhadap proposisi bahasa Indonesia berbasis sampah. Artinya, perlu ditemukan pola relasi antara persepsi yang berkaitan dengan pengetahuan dan agenda kongkret sesuai pemahaman terhadap proposisi tersebut. Satu lagi kajian menarik tentang persepsi dengan alat bahasa oleh </w:t>
      </w:r>
      <w:r w:rsidRPr="002A6CAC">
        <w:rPr>
          <w:rFonts w:cs="Times New Roman"/>
        </w:rPr>
        <w:fldChar w:fldCharType="begin" w:fldLock="1"/>
      </w:r>
      <w:r w:rsidRPr="002A6CAC">
        <w:rPr>
          <w:rFonts w:cs="Times New Roman"/>
        </w:rPr>
        <w:instrText>ADDIN CSL_CITATION {"citationItems":[{"id":"ITEM-1","itemData":{"DOI":"10.1016/j.gloenvcha.2019.101974","ISSN":"09593780","abstract":"Local perceptions of climate anomalies influence adaptation behaviour. Specifically, perceptions that are more accurate and homogenous at the community-level are more likely to facilitate the collective action required to adapt to the local effects of climate anomalies experienced by many indigenous communities. We combine primary data on perceptions of climate anomalies from 200 individuals in six Penan villages in Sarawak, Malaysia with instrumental climate data. We find that perceptions of climate anomalies vary substantially in terms of occurrence and magnitude, and do not generally correlate with instrumental climate data. We operationalise the Penan forest sign language (Oroo’) as a measure of traditional ecological knowledge (TEK) and find only weak evidence of a systematic statistical association with perceptions of climate anomalies among our sampled respondents. Our findings suggest caution in advancing adaptation strategies in indigenous communities that are predominantly premised on TEK. Instead, our findings suggest that in designing adaptation measures, indigenous communities may benefit by engaging in forums where community members and external stakeholders can come together, share their perceptions and observations of climate change, and reach a collective consensus on the community-level effects of climate change and pathways towards adaptation.","author":[{"dropping-particle":"","family":"Gevelt","given":"T.","non-dropping-particle":"van","parse-names":false,"suffix":""},{"dropping-particle":"","family":"Abok","given":"H.","non-dropping-particle":"","parse-names":false,"suffix":""},{"dropping-particle":"","family":"Bennett","given":"M. M.","non-dropping-particle":"","parse-names":false,"suffix":""},{"dropping-particle":"","family":"Fam","given":"S. D.","non-dropping-particle":"","parse-names":false,"suffix":""},{"dropping-particle":"","family":"George","given":"F.","non-dropping-particle":"","parse-names":false,"suffix":""},{"dropping-particle":"","family":"Kulathuramaiyer","given":"N.","non-dropping-particle":"","parse-names":false,"suffix":""},{"dropping-particle":"","family":"Low","given":"C. T.","non-dropping-particle":"","parse-names":false,"suffix":""},{"dropping-particle":"","family":"Zaman","given":"T.","non-dropping-particle":"","parse-names":false,"suffix":""}],"container-title":"Global Environmental Change","id":"ITEM-1","issue":"April","issued":{"date-parts":[["2019"]]},"page":"101974","publisher":"Elsevier Ltd","title":"Indigenous perceptions of climate anomalies in Malaysian Borneo","type":"article-journal","volume":"58"},"uris":["http://www.mendeley.com/documents/?uuid=a8d89080-22f5-4f1c-b03c-edcfe47a681f"]}],"mendeley":{"formattedCitation":"(van Gevelt et al., 2019)","manualFormatting":"van Gevelt et al., (2019)","plainTextFormattedCitation":"(van Gevelt et al., 2019)","previouslyFormattedCitation":"(van Gevelt et al., 2019)"},"properties":{"noteIndex":0},"schema":"https://github.com/citation-style-language/schema/raw/master/csl-citation.json"}</w:instrText>
      </w:r>
      <w:r w:rsidRPr="002A6CAC">
        <w:rPr>
          <w:rFonts w:cs="Times New Roman"/>
        </w:rPr>
        <w:fldChar w:fldCharType="separate"/>
      </w:r>
      <w:r w:rsidRPr="002A6CAC">
        <w:rPr>
          <w:rFonts w:cs="Times New Roman"/>
          <w:noProof/>
        </w:rPr>
        <w:t>van Gevelt et al., (2019)</w:t>
      </w:r>
      <w:r w:rsidRPr="002A6CAC">
        <w:rPr>
          <w:rFonts w:cs="Times New Roman"/>
        </w:rPr>
        <w:fldChar w:fldCharType="end"/>
      </w:r>
      <w:r w:rsidRPr="002A6CAC">
        <w:rPr>
          <w:rFonts w:cs="Times New Roman"/>
        </w:rPr>
        <w:t xml:space="preserve"> tentang beberapa kearifan lokal di Sarawak yang berkaitan dengan anomali perubahan iklim. Survey terhadap 280 lebih responden, Gevelt, et al., menemukan bahwa persepsi berdasarkan kearifan lokal terhadap perubahan iklim membantu para pengampu kebijakan menentukan kebijakan lokal terkait perubahan iklim. Kajian sejenis oleh </w:t>
      </w:r>
      <w:r w:rsidRPr="002A6CAC">
        <w:rPr>
          <w:rFonts w:cs="Times New Roman"/>
        </w:rPr>
        <w:fldChar w:fldCharType="begin" w:fldLock="1"/>
      </w:r>
      <w:r w:rsidRPr="002A6CAC">
        <w:rPr>
          <w:rFonts w:cs="Times New Roman"/>
        </w:rPr>
        <w:instrText>ADDIN CSL_CITATION {"citationItems":[{"id":"ITEM-1","itemData":{"DOI":"10.1016/j.lingua.2019.102750","ISSN":"00243841","abstract":"Informed by integrative pragmatics, elasticity theory and framing theory, this study attempts to understand how Chinese elastic language (EL) in the online health context is perceived. Drawing on data from online health information and based on the results of questionnaires distributed to 516 Taiwanese university students, this study investigates the perceptions of EL in online health information for the public. The questionnaire, containing six short excerpts in Chinese, is designed to gain the respondents’ perceptions of EL vis-à-vis non-EL. Analyzing respondents’ explanations of their preferences for EL or non-EL, we identified six frames that motivated the explanations. Each of the frames has two tendencies/ends: positive-negative communication effects; trust-skepticism; lay-professional; folk-idiosyncratic; voluntary-involuntary action; and difference-indifference. The respondents’ explanations were coded using the identified frames. The results show a hierarchical orderliness of frames that explains respondents’ attitudes toward EL and non-EL: communication, folk-idiosyncratic, trust-skepticism, followed by the action frame. This project aims to enhance a better understanding between health professionals’ use of EL and the public's perceptions of such language and to provide useful recommendations regarding the use of EL in online health communication.","author":[{"dropping-particle":"","family":"Tseng","given":"Ming Yu","non-dropping-particle":"","parse-names":false,"suffix":""},{"dropping-particle":"","family":"Zhang","given":"Grace","non-dropping-particle":"","parse-names":false,"suffix":""}],"container-title":"Lingua","id":"ITEM-1","issued":{"date-parts":[["2019"]]},"page":"102750","publisher":"Elsevier B.V.","title":"Perceptions of and attitudes toward elastic language in online health communication in Chinese","type":"article-journal"},"uris":["http://www.mendeley.com/documents/?uuid=dbb41951-9a15-46fd-907b-aaee4378d503"]}],"mendeley":{"formattedCitation":"(Tseng &amp; Zhang, 2019)","manualFormatting":"Tseng &amp; Zhang (2019)","plainTextFormattedCitation":"(Tseng &amp; Zhang, 2019)","previouslyFormattedCitation":"(Tseng &amp; Zhang, 2019)"},"properties":{"noteIndex":0},"schema":"https://github.com/citation-style-language/schema/raw/master/csl-citation.json"}</w:instrText>
      </w:r>
      <w:r w:rsidRPr="002A6CAC">
        <w:rPr>
          <w:rFonts w:cs="Times New Roman"/>
        </w:rPr>
        <w:fldChar w:fldCharType="separate"/>
      </w:r>
      <w:r w:rsidRPr="002A6CAC">
        <w:rPr>
          <w:rFonts w:cs="Times New Roman"/>
          <w:noProof/>
        </w:rPr>
        <w:t>Tseng &amp; Zhang (2019)</w:t>
      </w:r>
      <w:r w:rsidRPr="002A6CAC">
        <w:rPr>
          <w:rFonts w:cs="Times New Roman"/>
        </w:rPr>
        <w:fldChar w:fldCharType="end"/>
      </w:r>
      <w:r w:rsidRPr="002A6CAC">
        <w:rPr>
          <w:rFonts w:cs="Times New Roman"/>
        </w:rPr>
        <w:t xml:space="preserve"> tentang persepsi mahasiswa Taiwan terhadap beberapa bentuk bahasa bidang kesehatan melalui media sosial. Keduanya menemukan persepsi yang berbeda, dan tidak selalu sejajar dengan tindakan bidang kesehatan. Beberapa tesis yang linier antara pemahaman dan kecenderungan tindakan tidak dapat disejajarkan pada semua hal. Pemahaman terhadap proposisi pengelolaan sampah, tidak menjamin seseorang cenderung aktif dalam pengelolaan sampah. Kondisi ini sejalan dengan hubungan antara seorang ahli bahasa dan seorang multibahasa. Dalam kajiannya, </w:t>
      </w:r>
      <w:r w:rsidRPr="002A6CAC">
        <w:rPr>
          <w:rFonts w:cs="Times New Roman"/>
        </w:rPr>
        <w:fldChar w:fldCharType="begin" w:fldLock="1"/>
      </w:r>
      <w:r w:rsidRPr="002A6CAC">
        <w:rPr>
          <w:rFonts w:cs="Times New Roman"/>
        </w:rPr>
        <w:instrText>ADDIN CSL_CITATION {"citationItems":[{"id":"ITEM-1","itemData":{"DOI":"10.1016/j.lingua.2017.12.012","ISSN":"00243841","abstract":"Many linguists are familiar with the question: “How many languages do you speak?” Anecdotally, it is well known among our discipline that non-linguists have misconceptions about linguistics and the work of linguists. The purpose of this paper is to conduct a survey to identify popular beliefs about what linguistics is and what linguists do, to examine these beliefs, and to determine the prevalence of these perceptions. Furthermore, this study seeks to find out if exposure to linguistics can educate the general public about the field and dispel the myths and misconceptions.","author":[{"dropping-particle":"","family":"Stollznow","given":"Karen","non-dropping-particle":"","parse-names":false,"suffix":""}],"container-title":"Lingua","id":"ITEM-1","issued":{"date-parts":[["2018"]]},"page":"15-28","publisher":"Elsevier B.V.","title":"“How many languages do you speak?” Perceptions and misconceptions about linguistics and linguists","type":"article-journal","volume":"205"},"uris":["http://www.mendeley.com/documents/?uuid=0f725feb-1b6f-42e8-afc1-977a8cb72f89"]}],"mendeley":{"formattedCitation":"(Stollznow, 2018)","manualFormatting":"Stollznow (2018)","plainTextFormattedCitation":"(Stollznow, 2018)","previouslyFormattedCitation":"(Stollznow, 2018)"},"properties":{"noteIndex":0},"schema":"https://github.com/citation-style-language/schema/raw/master/csl-citation.json"}</w:instrText>
      </w:r>
      <w:r w:rsidRPr="002A6CAC">
        <w:rPr>
          <w:rFonts w:cs="Times New Roman"/>
        </w:rPr>
        <w:fldChar w:fldCharType="separate"/>
      </w:r>
      <w:r w:rsidRPr="002A6CAC">
        <w:rPr>
          <w:rFonts w:cs="Times New Roman"/>
          <w:noProof/>
        </w:rPr>
        <w:t>Stollznow (2018)</w:t>
      </w:r>
      <w:r w:rsidRPr="002A6CAC">
        <w:rPr>
          <w:rFonts w:cs="Times New Roman"/>
        </w:rPr>
        <w:fldChar w:fldCharType="end"/>
      </w:r>
      <w:r w:rsidRPr="002A6CAC">
        <w:rPr>
          <w:rFonts w:cs="Times New Roman"/>
        </w:rPr>
        <w:t xml:space="preserve"> mengidentifiksi kesalahpahaman banyak pihak terkait dengan hubungan keduanya. Sebagian besar orang menganggap bahwa seorang ahli bahasa juga seorang multibahasa. Seorang ahli bahasa, belum tentu seorang multibahasa, dan sebaliknya. Demikian pula, seorang yang paham tentang pengelolaan sampah, belum tentu cenderung terhadap pengelolaan sampah. Secara kongkret dibuktikan oleh </w:t>
      </w:r>
      <w:r w:rsidRPr="002A6CAC">
        <w:rPr>
          <w:rFonts w:cs="Times New Roman"/>
        </w:rPr>
        <w:fldChar w:fldCharType="begin" w:fldLock="1"/>
      </w:r>
      <w:r w:rsidRPr="002A6CAC">
        <w:rPr>
          <w:rFonts w:cs="Times New Roman"/>
        </w:rPr>
        <w:instrText>ADDIN CSL_CITATION {"citationItems":[{"id":"ITEM-1","itemData":{"DOI":"10.1016/j.lingua.2018.05.006","ISSN":"00243841","abstract":"The widespread use of English in academia has been reported to have detrimental effects on other academic languages and to pose considerable language problems to those scholars that use English as an Additional Language. This paper, however, seeks to bring into focus the functionality of English along with that of other academic languages for campus-wide internationalization. Using data from semi-structured interviews with university faculty, the paper examines the plurilingual practices of a localized disciplinary community in a non-Anglophone academic setting. The data show that while several causal and intervening conditions promote English in the domain of research communication, context-specific factors support the use of Spanish in the domain of education. Regarding the spoken mode, faculty accounts of language-related phenomena (language mixing, translanguaging and parallel language use) reveal complex multilingual interactions. Furthermore, their accounts of informal academic interactions and of features of English as a Lingua Franca confirm that they communicate effectively in English with other academics even if their English does not fully conform to the English Native Language norms. Given that macro-level (institutional) language policies have a dramatic impact on language practices, we advocate effective language planning and management to preserve and enhance plurilingualism on campus.","author":[{"dropping-particle":"","family":"Pérez-Llantada","given":"Carmen","non-dropping-particle":"","parse-names":false,"suffix":""}],"container-title":"Lingua","id":"ITEM-1","issued":{"date-parts":[["2018"]]},"page":"30-43","publisher":"The Author","title":"Bringing into focus multilingual realities: Faculty perceptions of academic languages on campus","type":"article-journal","volume":"212"},"uris":["http://www.mendeley.com/documents/?uuid=65f144f6-e3c8-4c8f-ae09-c124cfc08c0a"]}],"mendeley":{"formattedCitation":"(Pérez-Llantada, 2018)","manualFormatting":"Pérez-Llantada (2018)","plainTextFormattedCitation":"(Pérez-Llantada, 2018)","previouslyFormattedCitation":"(Pérez-Llantada, 2018)"},"properties":{"noteIndex":0},"schema":"https://github.com/citation-style-language/schema/raw/master/csl-citation.json"}</w:instrText>
      </w:r>
      <w:r w:rsidRPr="002A6CAC">
        <w:rPr>
          <w:rFonts w:cs="Times New Roman"/>
        </w:rPr>
        <w:fldChar w:fldCharType="separate"/>
      </w:r>
      <w:r w:rsidRPr="002A6CAC">
        <w:rPr>
          <w:rFonts w:cs="Times New Roman"/>
          <w:noProof/>
        </w:rPr>
        <w:t>Pérez-Llantada (2018)</w:t>
      </w:r>
      <w:r w:rsidRPr="002A6CAC">
        <w:rPr>
          <w:rFonts w:cs="Times New Roman"/>
        </w:rPr>
        <w:fldChar w:fldCharType="end"/>
      </w:r>
      <w:r w:rsidRPr="002A6CAC">
        <w:rPr>
          <w:rFonts w:cs="Times New Roman"/>
        </w:rPr>
        <w:t xml:space="preserve"> tentang persepsi mahasiswa terhadap beberapa bahasa di beberapa kampus di Spanyol. Kajiannya menunjukkan adanya hubungan yang variatif antara persepsi terhadap bahasa dan tindakan berdasarkan persepsi kebahasaan. Temuan kajian-kajian sebelumnya sangat membantu kajian ini dalam menemukan tingkat persepsi kalangan milenial terhadap proposisi bahasa Indonesia berbasis sampah. Jika terdapat hubungan linier, persepsi yang baik akan melahirkan banyak agenda sesuai dengan persepsinya terhadap bahasa dimaksud. </w:t>
      </w:r>
    </w:p>
    <w:p w14:paraId="4892A6A6" w14:textId="77777777" w:rsidR="002A6CAC" w:rsidRDefault="002A6CAC" w:rsidP="002A6CAC">
      <w:pPr>
        <w:ind w:left="0" w:firstLine="0"/>
        <w:rPr>
          <w:i/>
        </w:rPr>
      </w:pPr>
    </w:p>
    <w:p w14:paraId="200BB2B9" w14:textId="77777777" w:rsidR="002A6CAC" w:rsidRPr="0080596A" w:rsidRDefault="002A6CAC" w:rsidP="002A6CAC">
      <w:pPr>
        <w:ind w:left="0" w:firstLine="0"/>
        <w:rPr>
          <w:b/>
          <w:lang w:val="en-US"/>
        </w:rPr>
      </w:pPr>
      <w:r>
        <w:rPr>
          <w:b/>
          <w:lang w:val="en-US"/>
        </w:rPr>
        <w:lastRenderedPageBreak/>
        <w:t>METHODS</w:t>
      </w:r>
    </w:p>
    <w:p w14:paraId="63DEEEF4" w14:textId="77777777" w:rsidR="009938B7" w:rsidRDefault="009938B7" w:rsidP="002A6CAC">
      <w:pPr>
        <w:ind w:left="0" w:firstLine="720"/>
        <w:rPr>
          <w:i/>
        </w:rPr>
      </w:pPr>
    </w:p>
    <w:p w14:paraId="31D0A767" w14:textId="7E3F77AC" w:rsidR="002A6CAC" w:rsidRPr="003C7163" w:rsidRDefault="002A6CAC" w:rsidP="002A6CAC">
      <w:pPr>
        <w:ind w:left="0" w:firstLine="720"/>
        <w:rPr>
          <w:rFonts w:cs="Times New Roman"/>
        </w:rPr>
      </w:pPr>
      <w:r w:rsidRPr="003C7163">
        <w:rPr>
          <w:rFonts w:cs="Times New Roman"/>
        </w:rPr>
        <w:t xml:space="preserve">Penelitian ini adalah jenis kajian deskriptif kuantitatif. Responden Penelitian ini berjumlah 100 orang kategori milenial dengan usia berkisar 17-20 tahun. Responden berasal dari 3 sekolah menengah atas dan 2 pergurun tinggi di Nusa tenggara Barat.  Instrumen kajian ini berbentuk kuesioner yang dikembangkan mengikuti teori relativisme dan determinisme Safir-Whorf. Relativisme dan determinisme merupakan interaksi persepsi kognitif (pemahaman) yang mempengaruhi kesadaran dan psikologi, termasuk sikap, dan bermuara pada tindakan terkait persepsinya.  Pertanyaan-pertanyaan dalam kuesioner ini terdiri atas 10 deskripsi normatif dengan lima skala persepsi bertingkat dengan pendekatan skor menurut Guthman  </w:t>
      </w:r>
      <w:r w:rsidRPr="003C7163">
        <w:rPr>
          <w:rFonts w:cs="Times New Roman"/>
        </w:rPr>
        <w:fldChar w:fldCharType="begin" w:fldLock="1"/>
      </w:r>
      <w:r w:rsidRPr="003C7163">
        <w:rPr>
          <w:rFonts w:cs="Times New Roman"/>
        </w:rPr>
        <w:instrText>ADDIN CSL_CITATION {"citationItems":[{"id":"ITEM-1","itemData":{"ISBN":"ISBN 978-3-319-99117-7 ISBN 978-3-319-99118-4 (eBook)","author":[{"dropping-particle":"","family":"Stockemer","given":"Daniel","non-dropping-particle":"","parse-names":false,"suffix":""}],"id":"ITEM-1","issued":{"date-parts":[["2019"]]},"number-of-pages":"185","publisher":"Springer International Publishing","publisher-place":"Gewerbestrasse 11, 6330 Cham, Switzerland","title":"Quantitative Methods for the Social Sciences A Practical Introduction with Examples in SPSS and Stata","type":"book"},"uris":["http://www.mendeley.com/documents/?uuid=98865e5f-2cea-4f28-b3f3-eacb2a1e3928"]}],"mendeley":{"formattedCitation":"(Stockemer, 2019)","manualFormatting":"(Stockemer, 2019)","plainTextFormattedCitation":"(Stockemer, 2019)","previouslyFormattedCitation":"(Stockemer, 2019)"},"properties":{"noteIndex":0},"schema":"https://github.com/citation-style-language/schema/raw/master/csl-citation.json"}</w:instrText>
      </w:r>
      <w:r w:rsidRPr="003C7163">
        <w:rPr>
          <w:rFonts w:cs="Times New Roman"/>
        </w:rPr>
        <w:fldChar w:fldCharType="separate"/>
      </w:r>
      <w:r w:rsidRPr="003C7163">
        <w:rPr>
          <w:rFonts w:cs="Times New Roman"/>
          <w:noProof/>
        </w:rPr>
        <w:t>(Stockemer, 2019)</w:t>
      </w:r>
      <w:r w:rsidRPr="003C7163">
        <w:rPr>
          <w:rFonts w:cs="Times New Roman"/>
        </w:rPr>
        <w:fldChar w:fldCharType="end"/>
      </w:r>
      <w:r w:rsidRPr="003C7163">
        <w:rPr>
          <w:rFonts w:cs="Times New Roman"/>
        </w:rPr>
        <w:t>. Kelima skala persepsi merupakan tingkatan dalam interaksi relativisme dan determinisme Safir-Whorf. Data survei didasarkan pada lima skala, terdiri atas deskripsi normatif tentang kelestarian lingkungan berdasarkan proposisi berbasis pengelolaan sampah. Deskripsi semantis dari derskripsi normatif sebagaimana pada tabel 1.</w:t>
      </w:r>
    </w:p>
    <w:p w14:paraId="2CB2FA1A" w14:textId="77777777" w:rsidR="002A6CAC" w:rsidRPr="003C7163" w:rsidRDefault="002A6CAC" w:rsidP="00742DA3">
      <w:pPr>
        <w:ind w:left="0" w:firstLine="0"/>
        <w:jc w:val="center"/>
        <w:rPr>
          <w:rFonts w:cs="Times New Roman"/>
          <w:b/>
          <w:bCs/>
        </w:rPr>
      </w:pPr>
      <w:r w:rsidRPr="003C7163">
        <w:rPr>
          <w:rFonts w:cs="Times New Roman"/>
          <w:b/>
          <w:bCs/>
        </w:rPr>
        <w:t>Tabel 1:</w:t>
      </w:r>
    </w:p>
    <w:p w14:paraId="69318F8F" w14:textId="110A7D8B" w:rsidR="002A6CAC" w:rsidRPr="003C7163" w:rsidRDefault="002A6CAC" w:rsidP="00742DA3">
      <w:pPr>
        <w:ind w:left="0" w:firstLine="0"/>
        <w:jc w:val="center"/>
        <w:rPr>
          <w:rFonts w:cs="Times New Roman"/>
          <w:b/>
          <w:bCs/>
        </w:rPr>
      </w:pPr>
      <w:r w:rsidRPr="003C7163">
        <w:rPr>
          <w:rFonts w:cs="Times New Roman"/>
          <w:b/>
          <w:bCs/>
        </w:rPr>
        <w:t>Deskripsi normatif/semantis dalam Skala persepsi dan skor</w:t>
      </w:r>
    </w:p>
    <w:tbl>
      <w:tblPr>
        <w:tblStyle w:val="GridTable5Dark-Accent5"/>
        <w:tblW w:w="737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180"/>
        <w:gridCol w:w="830"/>
        <w:gridCol w:w="827"/>
        <w:gridCol w:w="839"/>
        <w:gridCol w:w="925"/>
        <w:gridCol w:w="1268"/>
        <w:gridCol w:w="6"/>
        <w:gridCol w:w="787"/>
      </w:tblGrid>
      <w:tr w:rsidR="003C7163" w:rsidRPr="003C7163" w14:paraId="6E61EEAE" w14:textId="77777777" w:rsidTr="009938B7">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none" w:sz="0" w:space="0" w:color="auto"/>
              <w:left w:val="none" w:sz="0" w:space="0" w:color="auto"/>
              <w:right w:val="none" w:sz="0" w:space="0" w:color="auto"/>
            </w:tcBorders>
          </w:tcPr>
          <w:p w14:paraId="2D5D522B" w14:textId="77777777" w:rsidR="002A6CAC" w:rsidRPr="003C7163" w:rsidRDefault="002A6CAC" w:rsidP="003C7163">
            <w:pPr>
              <w:ind w:left="-110" w:firstLine="142"/>
              <w:jc w:val="center"/>
              <w:rPr>
                <w:rFonts w:cs="Times New Roman"/>
              </w:rPr>
            </w:pPr>
            <w:r w:rsidRPr="003C7163">
              <w:rPr>
                <w:rFonts w:cs="Times New Roman"/>
              </w:rPr>
              <w:t>No.</w:t>
            </w:r>
          </w:p>
        </w:tc>
        <w:tc>
          <w:tcPr>
            <w:tcW w:w="1180" w:type="dxa"/>
            <w:vMerge w:val="restart"/>
            <w:tcBorders>
              <w:top w:val="none" w:sz="0" w:space="0" w:color="auto"/>
              <w:left w:val="none" w:sz="0" w:space="0" w:color="auto"/>
              <w:right w:val="none" w:sz="0" w:space="0" w:color="auto"/>
            </w:tcBorders>
          </w:tcPr>
          <w:p w14:paraId="702600B4" w14:textId="77777777" w:rsidR="002A6CAC" w:rsidRPr="003C7163" w:rsidRDefault="002A6CAC" w:rsidP="003C7163">
            <w:pPr>
              <w:ind w:left="-99"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3C7163">
              <w:rPr>
                <w:rFonts w:cs="Times New Roman"/>
              </w:rPr>
              <w:t>Deskripsi Normatif (Deskripsi Semantis)</w:t>
            </w:r>
          </w:p>
        </w:tc>
        <w:tc>
          <w:tcPr>
            <w:tcW w:w="4695" w:type="dxa"/>
            <w:gridSpan w:val="6"/>
            <w:tcBorders>
              <w:top w:val="none" w:sz="0" w:space="0" w:color="auto"/>
              <w:left w:val="none" w:sz="0" w:space="0" w:color="auto"/>
              <w:right w:val="none" w:sz="0" w:space="0" w:color="auto"/>
            </w:tcBorders>
          </w:tcPr>
          <w:p w14:paraId="7CF5E55C" w14:textId="77777777" w:rsidR="002A6CAC" w:rsidRPr="003C7163" w:rsidRDefault="002A6CAC" w:rsidP="003C7163">
            <w:pPr>
              <w:ind w:left="0"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3C7163">
              <w:rPr>
                <w:rFonts w:cs="Times New Roman"/>
              </w:rPr>
              <w:t>Skala Persepsi dan Skor</w:t>
            </w:r>
          </w:p>
        </w:tc>
        <w:tc>
          <w:tcPr>
            <w:tcW w:w="787" w:type="dxa"/>
            <w:tcBorders>
              <w:top w:val="none" w:sz="0" w:space="0" w:color="auto"/>
              <w:left w:val="none" w:sz="0" w:space="0" w:color="auto"/>
              <w:right w:val="none" w:sz="0" w:space="0" w:color="auto"/>
            </w:tcBorders>
          </w:tcPr>
          <w:p w14:paraId="006CF0E3" w14:textId="7702380F" w:rsidR="002A6CAC" w:rsidRPr="003C7163" w:rsidRDefault="003C7163" w:rsidP="003C7163">
            <w:pPr>
              <w:ind w:left="0"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3C7163">
              <w:rPr>
                <w:rFonts w:cs="Times New Roman"/>
                <w:lang w:val="en-US"/>
              </w:rPr>
              <w:t>To</w:t>
            </w:r>
            <w:r w:rsidR="002A6CAC" w:rsidRPr="003C7163">
              <w:rPr>
                <w:rFonts w:cs="Times New Roman"/>
              </w:rPr>
              <w:t>tal</w:t>
            </w:r>
          </w:p>
        </w:tc>
      </w:tr>
      <w:tr w:rsidR="002A6CAC" w:rsidRPr="003C7163" w14:paraId="7FFCB719"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Borders>
              <w:left w:val="none" w:sz="0" w:space="0" w:color="auto"/>
            </w:tcBorders>
          </w:tcPr>
          <w:p w14:paraId="3E0E8E96" w14:textId="77777777" w:rsidR="002A6CAC" w:rsidRPr="003C7163" w:rsidRDefault="002A6CAC" w:rsidP="003C7163">
            <w:pPr>
              <w:jc w:val="center"/>
              <w:rPr>
                <w:rFonts w:cs="Times New Roman"/>
              </w:rPr>
            </w:pPr>
          </w:p>
        </w:tc>
        <w:tc>
          <w:tcPr>
            <w:tcW w:w="1180" w:type="dxa"/>
            <w:vMerge/>
          </w:tcPr>
          <w:p w14:paraId="4F80DBCB" w14:textId="77777777" w:rsidR="002A6CAC" w:rsidRPr="003C7163" w:rsidRDefault="002A6CAC" w:rsidP="003C7163">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830" w:type="dxa"/>
          </w:tcPr>
          <w:p w14:paraId="6B415DB2" w14:textId="77777777" w:rsidR="002A6CAC" w:rsidRPr="003C7163" w:rsidRDefault="002A6CAC" w:rsidP="003C7163">
            <w:pPr>
              <w:ind w:left="244" w:hanging="314"/>
              <w:jc w:val="center"/>
              <w:cnfStyle w:val="000000100000" w:firstRow="0" w:lastRow="0" w:firstColumn="0" w:lastColumn="0" w:oddVBand="0" w:evenVBand="0" w:oddHBand="1" w:evenHBand="0" w:firstRowFirstColumn="0" w:firstRowLastColumn="0" w:lastRowFirstColumn="0" w:lastRowLastColumn="0"/>
              <w:rPr>
                <w:rFonts w:cs="Times New Roman"/>
              </w:rPr>
            </w:pPr>
            <w:r w:rsidRPr="003C7163">
              <w:rPr>
                <w:rFonts w:cs="Times New Roman"/>
              </w:rPr>
              <w:t>Sangat</w:t>
            </w:r>
          </w:p>
          <w:p w14:paraId="5C1C0BD2" w14:textId="0B2BE0F1" w:rsidR="002A6CAC" w:rsidRPr="003C7163" w:rsidRDefault="002A6CAC" w:rsidP="00606AE4">
            <w:pPr>
              <w:ind w:left="-15" w:hanging="102"/>
              <w:jc w:val="center"/>
              <w:cnfStyle w:val="000000100000" w:firstRow="0" w:lastRow="0" w:firstColumn="0" w:lastColumn="0" w:oddVBand="0" w:evenVBand="0" w:oddHBand="1" w:evenHBand="0" w:firstRowFirstColumn="0" w:firstRowLastColumn="0" w:lastRowFirstColumn="0" w:lastRowLastColumn="0"/>
              <w:rPr>
                <w:rFonts w:cs="Times New Roman"/>
              </w:rPr>
            </w:pPr>
            <w:r w:rsidRPr="003C7163">
              <w:rPr>
                <w:rFonts w:cs="Times New Roman"/>
              </w:rPr>
              <w:t>Setuju</w:t>
            </w:r>
            <w:r w:rsidR="003C7163" w:rsidRPr="003C7163">
              <w:rPr>
                <w:rFonts w:cs="Times New Roman"/>
                <w:lang w:val="en-US"/>
              </w:rPr>
              <w:t xml:space="preserve"> </w:t>
            </w:r>
            <w:r w:rsidRPr="003C7163">
              <w:rPr>
                <w:rFonts w:cs="Times New Roman"/>
              </w:rPr>
              <w:t>(SS)</w:t>
            </w:r>
          </w:p>
        </w:tc>
        <w:tc>
          <w:tcPr>
            <w:tcW w:w="827" w:type="dxa"/>
          </w:tcPr>
          <w:p w14:paraId="3AFE6FED" w14:textId="77777777" w:rsidR="002A6CAC" w:rsidRPr="003C7163" w:rsidRDefault="002A6CAC" w:rsidP="003C7163">
            <w:pPr>
              <w:ind w:left="0" w:firstLine="36"/>
              <w:jc w:val="center"/>
              <w:cnfStyle w:val="000000100000" w:firstRow="0" w:lastRow="0" w:firstColumn="0" w:lastColumn="0" w:oddVBand="0" w:evenVBand="0" w:oddHBand="1" w:evenHBand="0" w:firstRowFirstColumn="0" w:firstRowLastColumn="0" w:lastRowFirstColumn="0" w:lastRowLastColumn="0"/>
              <w:rPr>
                <w:rFonts w:cs="Times New Roman"/>
              </w:rPr>
            </w:pPr>
            <w:r w:rsidRPr="003C7163">
              <w:rPr>
                <w:rFonts w:cs="Times New Roman"/>
              </w:rPr>
              <w:t>Setuju (S)</w:t>
            </w:r>
          </w:p>
        </w:tc>
        <w:tc>
          <w:tcPr>
            <w:tcW w:w="839" w:type="dxa"/>
          </w:tcPr>
          <w:p w14:paraId="100D8958" w14:textId="2296B96F" w:rsidR="002A6CAC" w:rsidRPr="003C7163" w:rsidRDefault="002A6CAC" w:rsidP="003C7163">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3C7163">
              <w:rPr>
                <w:rFonts w:cs="Times New Roman"/>
              </w:rPr>
              <w:t>Cukup</w:t>
            </w:r>
          </w:p>
          <w:p w14:paraId="4E189B82" w14:textId="4A99F9B6" w:rsidR="002A6CAC" w:rsidRPr="003C7163" w:rsidRDefault="002A6CAC" w:rsidP="003C7163">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3C7163">
              <w:rPr>
                <w:rFonts w:cs="Times New Roman"/>
              </w:rPr>
              <w:t>Setuju (CS)</w:t>
            </w:r>
          </w:p>
        </w:tc>
        <w:tc>
          <w:tcPr>
            <w:tcW w:w="925" w:type="dxa"/>
          </w:tcPr>
          <w:p w14:paraId="21129DD9" w14:textId="77777777" w:rsidR="002A6CAC" w:rsidRPr="003C7163" w:rsidRDefault="002A6CAC" w:rsidP="003C7163">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3C7163">
              <w:rPr>
                <w:rFonts w:cs="Times New Roman"/>
              </w:rPr>
              <w:t>Tidak Setuju (TS)</w:t>
            </w:r>
          </w:p>
        </w:tc>
        <w:tc>
          <w:tcPr>
            <w:tcW w:w="1268" w:type="dxa"/>
          </w:tcPr>
          <w:p w14:paraId="623E5C94" w14:textId="34AF87A9" w:rsidR="002A6CAC" w:rsidRPr="003C7163" w:rsidRDefault="002A6CAC" w:rsidP="003C7163">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3C7163">
              <w:rPr>
                <w:rFonts w:cs="Times New Roman"/>
              </w:rPr>
              <w:t>Sangat</w:t>
            </w:r>
            <w:r w:rsidR="003C7163" w:rsidRPr="003C7163">
              <w:rPr>
                <w:rFonts w:cs="Times New Roman"/>
                <w:lang w:val="en-US"/>
              </w:rPr>
              <w:t xml:space="preserve"> </w:t>
            </w:r>
            <w:r w:rsidRPr="003C7163">
              <w:rPr>
                <w:rFonts w:cs="Times New Roman"/>
              </w:rPr>
              <w:t>Tidak</w:t>
            </w:r>
            <w:r w:rsidR="003C7163" w:rsidRPr="003C7163">
              <w:rPr>
                <w:rFonts w:cs="Times New Roman"/>
                <w:lang w:val="en-US"/>
              </w:rPr>
              <w:t xml:space="preserve"> </w:t>
            </w:r>
            <w:r w:rsidRPr="003C7163">
              <w:rPr>
                <w:rFonts w:cs="Times New Roman"/>
              </w:rPr>
              <w:t>Setuju (STS)</w:t>
            </w:r>
          </w:p>
        </w:tc>
        <w:tc>
          <w:tcPr>
            <w:tcW w:w="793" w:type="dxa"/>
            <w:gridSpan w:val="2"/>
          </w:tcPr>
          <w:p w14:paraId="0D72964D" w14:textId="77777777" w:rsidR="002A6CAC" w:rsidRPr="003C7163" w:rsidRDefault="002A6CAC" w:rsidP="003C7163">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2A6CAC" w:rsidRPr="003C7163" w14:paraId="61D7A79F" w14:textId="77777777" w:rsidTr="009938B7">
        <w:tc>
          <w:tcPr>
            <w:cnfStyle w:val="001000000000" w:firstRow="0" w:lastRow="0" w:firstColumn="1" w:lastColumn="0" w:oddVBand="0" w:evenVBand="0" w:oddHBand="0" w:evenHBand="0" w:firstRowFirstColumn="0" w:firstRowLastColumn="0" w:lastRowFirstColumn="0" w:lastRowLastColumn="0"/>
            <w:tcW w:w="709" w:type="dxa"/>
            <w:vMerge/>
            <w:tcBorders>
              <w:left w:val="none" w:sz="0" w:space="0" w:color="auto"/>
              <w:bottom w:val="none" w:sz="0" w:space="0" w:color="auto"/>
            </w:tcBorders>
          </w:tcPr>
          <w:p w14:paraId="1D0943F4" w14:textId="77777777" w:rsidR="002A6CAC" w:rsidRPr="003C7163" w:rsidRDefault="002A6CAC" w:rsidP="003C7163">
            <w:pPr>
              <w:jc w:val="center"/>
              <w:rPr>
                <w:rFonts w:cs="Times New Roman"/>
              </w:rPr>
            </w:pPr>
          </w:p>
        </w:tc>
        <w:tc>
          <w:tcPr>
            <w:tcW w:w="1180" w:type="dxa"/>
            <w:vMerge/>
          </w:tcPr>
          <w:p w14:paraId="0780A383" w14:textId="77777777" w:rsidR="002A6CAC" w:rsidRPr="003C7163" w:rsidRDefault="002A6CAC" w:rsidP="003C7163">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830" w:type="dxa"/>
          </w:tcPr>
          <w:p w14:paraId="6D0D9115" w14:textId="77777777" w:rsidR="002A6CAC" w:rsidRPr="003C7163" w:rsidRDefault="002A6CAC" w:rsidP="003C7163">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3C7163">
              <w:rPr>
                <w:rFonts w:cs="Times New Roman"/>
              </w:rPr>
              <w:t>Skor 5</w:t>
            </w:r>
          </w:p>
        </w:tc>
        <w:tc>
          <w:tcPr>
            <w:tcW w:w="827" w:type="dxa"/>
          </w:tcPr>
          <w:p w14:paraId="3C83D12F" w14:textId="77777777" w:rsidR="002A6CAC" w:rsidRPr="003C7163" w:rsidRDefault="002A6CAC" w:rsidP="003C7163">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3C7163">
              <w:rPr>
                <w:rFonts w:cs="Times New Roman"/>
              </w:rPr>
              <w:t>Skor 4</w:t>
            </w:r>
          </w:p>
        </w:tc>
        <w:tc>
          <w:tcPr>
            <w:tcW w:w="839" w:type="dxa"/>
          </w:tcPr>
          <w:p w14:paraId="27FCC9F9" w14:textId="77777777" w:rsidR="002A6CAC" w:rsidRPr="003C7163" w:rsidRDefault="002A6CAC" w:rsidP="003C7163">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3C7163">
              <w:rPr>
                <w:rFonts w:cs="Times New Roman"/>
              </w:rPr>
              <w:t>Skor 3</w:t>
            </w:r>
          </w:p>
        </w:tc>
        <w:tc>
          <w:tcPr>
            <w:tcW w:w="925" w:type="dxa"/>
          </w:tcPr>
          <w:p w14:paraId="27DD1D64" w14:textId="77777777" w:rsidR="002A6CAC" w:rsidRPr="003C7163" w:rsidRDefault="002A6CAC" w:rsidP="003C7163">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3C7163">
              <w:rPr>
                <w:rFonts w:cs="Times New Roman"/>
              </w:rPr>
              <w:t>Skor 2</w:t>
            </w:r>
          </w:p>
        </w:tc>
        <w:tc>
          <w:tcPr>
            <w:tcW w:w="1268" w:type="dxa"/>
          </w:tcPr>
          <w:p w14:paraId="68BD4730" w14:textId="78C242AF" w:rsidR="002A6CAC" w:rsidRPr="003C7163" w:rsidRDefault="003C7163" w:rsidP="003C7163">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3C7163">
              <w:rPr>
                <w:rFonts w:cs="Times New Roman"/>
                <w:lang w:val="en-US"/>
              </w:rPr>
              <w:t>S</w:t>
            </w:r>
            <w:r w:rsidR="002A6CAC" w:rsidRPr="003C7163">
              <w:rPr>
                <w:rFonts w:cs="Times New Roman"/>
              </w:rPr>
              <w:t>kor 1</w:t>
            </w:r>
          </w:p>
        </w:tc>
        <w:tc>
          <w:tcPr>
            <w:tcW w:w="793" w:type="dxa"/>
            <w:gridSpan w:val="2"/>
          </w:tcPr>
          <w:p w14:paraId="4060EFAD" w14:textId="77777777" w:rsidR="002A6CAC" w:rsidRPr="003C7163" w:rsidRDefault="002A6CAC" w:rsidP="003C7163">
            <w:pPr>
              <w:jc w:val="center"/>
              <w:cnfStyle w:val="000000000000" w:firstRow="0" w:lastRow="0" w:firstColumn="0" w:lastColumn="0" w:oddVBand="0" w:evenVBand="0" w:oddHBand="0" w:evenHBand="0" w:firstRowFirstColumn="0" w:firstRowLastColumn="0" w:lastRowFirstColumn="0" w:lastRowLastColumn="0"/>
              <w:rPr>
                <w:rFonts w:cs="Times New Roman"/>
              </w:rPr>
            </w:pPr>
          </w:p>
        </w:tc>
      </w:tr>
    </w:tbl>
    <w:p w14:paraId="29466E8E" w14:textId="77777777" w:rsidR="002A6CAC" w:rsidRPr="003C7163" w:rsidRDefault="002A6CAC" w:rsidP="002A6CAC">
      <w:pPr>
        <w:rPr>
          <w:rFonts w:cs="Times New Roman"/>
        </w:rPr>
      </w:pPr>
    </w:p>
    <w:p w14:paraId="0E0C17BA" w14:textId="77777777" w:rsidR="002A6CAC" w:rsidRPr="003C7163" w:rsidRDefault="002A6CAC" w:rsidP="00606AE4">
      <w:pPr>
        <w:ind w:left="0" w:firstLine="720"/>
        <w:rPr>
          <w:rFonts w:cs="Times New Roman"/>
        </w:rPr>
      </w:pPr>
      <w:r w:rsidRPr="003C7163">
        <w:rPr>
          <w:rFonts w:cs="Times New Roman"/>
        </w:rPr>
        <w:t xml:space="preserve">Data dianalisis secara deskriptif kuantitatif dalam tiga langkah. Langkah1:  menghitung jumlah responden yang memilih deskripsi semantik pada skala dan persepsi. Langkah 2: menghitung jumlah skor pada masing-masing skala dan persepsi menurut formula: </w:t>
      </w:r>
    </w:p>
    <w:p w14:paraId="00F701C2" w14:textId="77777777" w:rsidR="002A6CAC" w:rsidRPr="003C7163" w:rsidRDefault="002A6CAC" w:rsidP="002A6CAC">
      <w:pPr>
        <w:ind w:firstLine="720"/>
        <w:rPr>
          <w:rFonts w:cs="Times New Roman"/>
        </w:rPr>
      </w:pPr>
      <w:r w:rsidRPr="003C7163">
        <w:rPr>
          <w:rFonts w:cs="Times New Roman"/>
        </w:rPr>
        <w:t xml:space="preserve">Nilai Skor= </w:t>
      </w:r>
      <w:r w:rsidRPr="003C7163">
        <w:rPr>
          <w:rFonts w:cs="Times New Roman"/>
          <w:u w:val="single"/>
        </w:rPr>
        <w:t>ni.Si</w:t>
      </w:r>
      <w:r w:rsidRPr="003C7163">
        <w:rPr>
          <w:rFonts w:cs="Times New Roman"/>
        </w:rPr>
        <w:tab/>
      </w:r>
      <w:r w:rsidRPr="003C7163">
        <w:rPr>
          <w:rFonts w:cs="Times New Roman"/>
        </w:rPr>
        <w:tab/>
      </w:r>
      <w:r w:rsidRPr="003C7163">
        <w:rPr>
          <w:rFonts w:cs="Times New Roman"/>
        </w:rPr>
        <w:tab/>
      </w:r>
      <w:r w:rsidRPr="003C7163">
        <w:rPr>
          <w:rFonts w:cs="Times New Roman"/>
        </w:rPr>
        <w:tab/>
      </w:r>
      <w:r w:rsidRPr="003C7163">
        <w:rPr>
          <w:rFonts w:cs="Times New Roman"/>
        </w:rPr>
        <w:tab/>
      </w:r>
      <w:r w:rsidRPr="003C7163">
        <w:rPr>
          <w:rFonts w:cs="Times New Roman"/>
        </w:rPr>
        <w:tab/>
        <w:t xml:space="preserve">  </w:t>
      </w:r>
    </w:p>
    <w:p w14:paraId="1F0B1205" w14:textId="77777777" w:rsidR="002A6CAC" w:rsidRPr="003C7163" w:rsidRDefault="002A6CAC" w:rsidP="002A6CAC">
      <w:pPr>
        <w:rPr>
          <w:rFonts w:cs="Times New Roman"/>
          <w:u w:val="single"/>
        </w:rPr>
      </w:pPr>
      <w:r w:rsidRPr="003C7163">
        <w:rPr>
          <w:rFonts w:cs="Times New Roman"/>
        </w:rPr>
        <w:t xml:space="preserve"> </w:t>
      </w:r>
      <w:r w:rsidRPr="003C7163">
        <w:rPr>
          <w:rFonts w:cs="Times New Roman"/>
        </w:rPr>
        <w:tab/>
      </w:r>
      <w:r w:rsidRPr="003C7163">
        <w:rPr>
          <w:rFonts w:cs="Times New Roman"/>
        </w:rPr>
        <w:tab/>
        <w:t xml:space="preserve">          Ni</w:t>
      </w:r>
    </w:p>
    <w:p w14:paraId="06BF198C" w14:textId="77777777" w:rsidR="002A6CAC" w:rsidRPr="003C7163" w:rsidRDefault="002A6CAC" w:rsidP="002A6CAC">
      <w:pPr>
        <w:rPr>
          <w:rFonts w:cs="Times New Roman"/>
        </w:rPr>
      </w:pPr>
      <w:r w:rsidRPr="003C7163">
        <w:rPr>
          <w:rFonts w:cs="Times New Roman"/>
        </w:rPr>
        <w:t>N=Jumlah responden yang menyatakan pada kolom i (i=1,2,3,4,5)</w:t>
      </w:r>
    </w:p>
    <w:p w14:paraId="6C43B2A9" w14:textId="77777777" w:rsidR="002A6CAC" w:rsidRPr="003C7163" w:rsidRDefault="002A6CAC" w:rsidP="002A6CAC">
      <w:pPr>
        <w:rPr>
          <w:rFonts w:cs="Times New Roman"/>
        </w:rPr>
      </w:pPr>
      <w:r w:rsidRPr="003C7163">
        <w:rPr>
          <w:rFonts w:cs="Times New Roman"/>
        </w:rPr>
        <w:t>S=Skor pernyataan ke-i (i=1,2,3,4,5)</w:t>
      </w:r>
    </w:p>
    <w:p w14:paraId="7C29F8B0" w14:textId="77777777" w:rsidR="002A6CAC" w:rsidRPr="003C7163" w:rsidRDefault="002A6CAC" w:rsidP="002A6CAC">
      <w:pPr>
        <w:rPr>
          <w:rFonts w:cs="Times New Roman"/>
        </w:rPr>
      </w:pPr>
      <w:r w:rsidRPr="003C7163">
        <w:rPr>
          <w:rFonts w:cs="Times New Roman"/>
        </w:rPr>
        <w:t xml:space="preserve">N=Jumlah responden pada baris ke-i (i=1,2,3,4,5). </w:t>
      </w:r>
    </w:p>
    <w:p w14:paraId="59EA7CCC" w14:textId="348CC456" w:rsidR="002A6CAC" w:rsidRPr="009938B7" w:rsidRDefault="002A6CAC" w:rsidP="009938B7">
      <w:pPr>
        <w:rPr>
          <w:rFonts w:ascii="Garamond" w:hAnsi="Garamond" w:cs="Times New Roman"/>
          <w:b/>
          <w:bCs/>
          <w:color w:val="FF0000"/>
          <w:sz w:val="24"/>
          <w:szCs w:val="24"/>
        </w:rPr>
      </w:pPr>
      <w:r w:rsidRPr="003C7163">
        <w:rPr>
          <w:rFonts w:cs="Times New Roman"/>
        </w:rPr>
        <w:t xml:space="preserve">Langkah 3: menginterpretasi data hubungan antara masing-masing jumlah responden pada masing-masing deskripsi semantik (skala) </w:t>
      </w:r>
      <w:r w:rsidRPr="003C7163">
        <w:rPr>
          <w:rFonts w:cs="Times New Roman"/>
          <w:b/>
          <w:bCs/>
        </w:rPr>
        <w:fldChar w:fldCharType="begin" w:fldLock="1"/>
      </w:r>
      <w:r w:rsidRPr="003C7163">
        <w:rPr>
          <w:rFonts w:cs="Times New Roman"/>
          <w:b/>
          <w:bCs/>
        </w:rPr>
        <w:instrText>ADDIN CSL_CITATION {"citationItems":[{"id":"ITEM-1","itemData":{"author":[{"dropping-particle":"","family":"Hendayana","given":"Rachmat","non-dropping-particle":"","parse-names":false,"suffix":""}],"id":"ITEM-1","issued":{"date-parts":[["2014"]]},"publisher-place":"Bogor","title":"Persepsi dan adopsi teknologi: Teori dan Praktek Pengukuran","type":"report"},"uris":["http://www.mendeley.com/documents/?uuid=a14fd3dc-66d0-4725-aa78-9b52edf2db8f"]}],"mendeley":{"formattedCitation":"(Hendayana, 2014)","plainTextFormattedCitation":"(Hendayana, 2014)","previouslyFormattedCitation":"(Hendayana, 2014)"},"properties":{"noteIndex":0},"schema":"https://github.com/citation-style-language/schema/raw/master/csl-citation.json"}</w:instrText>
      </w:r>
      <w:r w:rsidRPr="003C7163">
        <w:rPr>
          <w:rFonts w:cs="Times New Roman"/>
          <w:b/>
          <w:bCs/>
        </w:rPr>
        <w:fldChar w:fldCharType="separate"/>
      </w:r>
      <w:r w:rsidRPr="003C7163">
        <w:rPr>
          <w:rFonts w:cs="Times New Roman"/>
          <w:bCs/>
          <w:noProof/>
        </w:rPr>
        <w:t>(Hendayana, 2014)</w:t>
      </w:r>
      <w:r w:rsidRPr="003C7163">
        <w:rPr>
          <w:rFonts w:cs="Times New Roman"/>
          <w:b/>
          <w:bCs/>
        </w:rPr>
        <w:fldChar w:fldCharType="end"/>
      </w:r>
      <w:r w:rsidRPr="000D6DD1">
        <w:rPr>
          <w:rFonts w:ascii="Garamond" w:hAnsi="Garamond" w:cs="Times New Roman"/>
          <w:b/>
          <w:bCs/>
          <w:sz w:val="24"/>
          <w:szCs w:val="24"/>
        </w:rPr>
        <w:t>.</w:t>
      </w:r>
      <w:r w:rsidRPr="00764C40">
        <w:rPr>
          <w:i/>
        </w:rPr>
        <w:t>-</w:t>
      </w:r>
    </w:p>
    <w:p w14:paraId="78962EC2" w14:textId="77777777" w:rsidR="009938B7" w:rsidRDefault="009938B7" w:rsidP="009938B7">
      <w:pPr>
        <w:ind w:left="0" w:firstLine="0"/>
      </w:pPr>
    </w:p>
    <w:p w14:paraId="2C6775B4" w14:textId="77777777" w:rsidR="009938B7" w:rsidRDefault="009938B7" w:rsidP="002A6CAC">
      <w:pPr>
        <w:ind w:left="0" w:firstLine="0"/>
        <w:rPr>
          <w:b/>
          <w:lang w:val="en-US"/>
        </w:rPr>
      </w:pPr>
    </w:p>
    <w:p w14:paraId="13C275DA" w14:textId="1754D476" w:rsidR="002A6CAC" w:rsidRPr="0080596A" w:rsidRDefault="002A6CAC" w:rsidP="002A6CAC">
      <w:pPr>
        <w:ind w:left="0" w:firstLine="0"/>
        <w:rPr>
          <w:b/>
          <w:lang w:val="en-US"/>
        </w:rPr>
      </w:pPr>
      <w:r>
        <w:rPr>
          <w:b/>
          <w:lang w:val="en-US"/>
        </w:rPr>
        <w:t>RESULTS &amp; DISCUSSION</w:t>
      </w:r>
    </w:p>
    <w:p w14:paraId="6B9DAB8D" w14:textId="77777777" w:rsidR="009938B7" w:rsidRDefault="009938B7" w:rsidP="002A6CAC">
      <w:pPr>
        <w:ind w:left="0" w:firstLine="0"/>
        <w:rPr>
          <w:i/>
        </w:rPr>
      </w:pPr>
    </w:p>
    <w:p w14:paraId="19AC8CBB" w14:textId="181B5522" w:rsidR="002A6CAC" w:rsidRPr="005938E3" w:rsidRDefault="002A6CAC" w:rsidP="002A6CAC">
      <w:pPr>
        <w:ind w:left="0" w:firstLine="0"/>
        <w:rPr>
          <w:i/>
          <w:lang w:val="en-US"/>
        </w:rPr>
      </w:pPr>
      <w:r>
        <w:rPr>
          <w:b/>
          <w:i/>
          <w:lang w:val="en-US"/>
        </w:rPr>
        <w:t>Results</w:t>
      </w:r>
    </w:p>
    <w:p w14:paraId="00B8BB44" w14:textId="77777777" w:rsidR="009938B7" w:rsidRDefault="009938B7" w:rsidP="00E0672D">
      <w:pPr>
        <w:rPr>
          <w:i/>
        </w:rPr>
      </w:pPr>
    </w:p>
    <w:p w14:paraId="7DA44FFA" w14:textId="1ACB34E3" w:rsidR="00E0672D" w:rsidRPr="00236ED6" w:rsidRDefault="00E0672D" w:rsidP="009938B7">
      <w:pPr>
        <w:ind w:left="0" w:firstLine="720"/>
        <w:rPr>
          <w:rFonts w:ascii="Garamond" w:hAnsi="Garamond" w:cs="Times New Roman"/>
          <w:sz w:val="24"/>
          <w:szCs w:val="24"/>
        </w:rPr>
      </w:pPr>
      <w:r w:rsidRPr="00236ED6">
        <w:rPr>
          <w:rFonts w:ascii="Garamond" w:hAnsi="Garamond" w:cs="Times New Roman"/>
          <w:sz w:val="24"/>
          <w:szCs w:val="24"/>
        </w:rPr>
        <w:t xml:space="preserve">Berdasarkan rumusan masalah yang telah disampaikan pada pendahuluan </w:t>
      </w:r>
      <w:r w:rsidRPr="009938B7">
        <w:rPr>
          <w:rFonts w:cs="Times New Roman"/>
        </w:rPr>
        <w:t>yaitu</w:t>
      </w:r>
      <w:r w:rsidRPr="00236ED6">
        <w:rPr>
          <w:rFonts w:ascii="Garamond" w:hAnsi="Garamond" w:cs="Times New Roman"/>
          <w:sz w:val="24"/>
          <w:szCs w:val="24"/>
        </w:rPr>
        <w:t xml:space="preserve"> Skor Persepsi dan Pandangan Teori relativisme-Determinisme yang menggunakan 100 responden dengan 10 deskripsi normatif (deskripsi semantis)  tampak pada tabel berikut:</w:t>
      </w:r>
    </w:p>
    <w:p w14:paraId="483AAFC0" w14:textId="77777777" w:rsidR="002C545D" w:rsidRDefault="002C545D" w:rsidP="00001F84">
      <w:pPr>
        <w:ind w:left="0" w:firstLine="0"/>
        <w:jc w:val="center"/>
        <w:rPr>
          <w:rFonts w:ascii="Garamond" w:hAnsi="Garamond" w:cs="Times New Roman"/>
          <w:b/>
          <w:bCs/>
          <w:sz w:val="24"/>
          <w:szCs w:val="24"/>
        </w:rPr>
      </w:pPr>
    </w:p>
    <w:p w14:paraId="3F902EA2" w14:textId="77777777" w:rsidR="002C545D" w:rsidRDefault="002C545D" w:rsidP="00001F84">
      <w:pPr>
        <w:ind w:left="0" w:firstLine="0"/>
        <w:jc w:val="center"/>
        <w:rPr>
          <w:rFonts w:ascii="Garamond" w:hAnsi="Garamond" w:cs="Times New Roman"/>
          <w:b/>
          <w:bCs/>
          <w:sz w:val="24"/>
          <w:szCs w:val="24"/>
        </w:rPr>
      </w:pPr>
    </w:p>
    <w:p w14:paraId="26B6542A" w14:textId="77777777" w:rsidR="002C545D" w:rsidRDefault="002C545D" w:rsidP="00001F84">
      <w:pPr>
        <w:ind w:left="0" w:firstLine="0"/>
        <w:jc w:val="center"/>
        <w:rPr>
          <w:rFonts w:ascii="Garamond" w:hAnsi="Garamond" w:cs="Times New Roman"/>
          <w:b/>
          <w:bCs/>
          <w:sz w:val="24"/>
          <w:szCs w:val="24"/>
        </w:rPr>
      </w:pPr>
    </w:p>
    <w:p w14:paraId="72B817E5" w14:textId="77777777" w:rsidR="002C545D" w:rsidRDefault="002C545D" w:rsidP="00001F84">
      <w:pPr>
        <w:ind w:left="0" w:firstLine="0"/>
        <w:jc w:val="center"/>
        <w:rPr>
          <w:rFonts w:ascii="Garamond" w:hAnsi="Garamond" w:cs="Times New Roman"/>
          <w:b/>
          <w:bCs/>
          <w:sz w:val="24"/>
          <w:szCs w:val="24"/>
        </w:rPr>
      </w:pPr>
    </w:p>
    <w:p w14:paraId="22175BA3" w14:textId="77777777" w:rsidR="002C545D" w:rsidRDefault="002C545D" w:rsidP="00001F84">
      <w:pPr>
        <w:ind w:left="0" w:firstLine="0"/>
        <w:jc w:val="center"/>
        <w:rPr>
          <w:rFonts w:ascii="Garamond" w:hAnsi="Garamond" w:cs="Times New Roman"/>
          <w:b/>
          <w:bCs/>
          <w:sz w:val="24"/>
          <w:szCs w:val="24"/>
        </w:rPr>
      </w:pPr>
    </w:p>
    <w:p w14:paraId="239D29E0" w14:textId="1B79935F" w:rsidR="00E0672D" w:rsidRDefault="00E0672D" w:rsidP="00001F84">
      <w:pPr>
        <w:ind w:left="0" w:firstLine="0"/>
        <w:jc w:val="center"/>
        <w:rPr>
          <w:rFonts w:ascii="Garamond" w:hAnsi="Garamond" w:cs="Times New Roman"/>
          <w:b/>
          <w:bCs/>
          <w:sz w:val="24"/>
          <w:szCs w:val="24"/>
        </w:rPr>
      </w:pPr>
      <w:r w:rsidRPr="000D6DD1">
        <w:rPr>
          <w:rFonts w:ascii="Garamond" w:hAnsi="Garamond" w:cs="Times New Roman"/>
          <w:b/>
          <w:bCs/>
          <w:sz w:val="24"/>
          <w:szCs w:val="24"/>
        </w:rPr>
        <w:lastRenderedPageBreak/>
        <w:t>Tabel 2:</w:t>
      </w:r>
    </w:p>
    <w:p w14:paraId="5F5C3A2F" w14:textId="5FC85626" w:rsidR="00E0672D" w:rsidRPr="000D6DD1" w:rsidRDefault="00E0672D" w:rsidP="00001F84">
      <w:pPr>
        <w:ind w:left="0" w:firstLine="0"/>
        <w:rPr>
          <w:rFonts w:ascii="Garamond" w:hAnsi="Garamond" w:cs="Times New Roman"/>
          <w:b/>
          <w:bCs/>
          <w:sz w:val="24"/>
          <w:szCs w:val="24"/>
        </w:rPr>
      </w:pPr>
      <w:r w:rsidRPr="000D6DD1">
        <w:rPr>
          <w:rFonts w:ascii="Garamond" w:hAnsi="Garamond" w:cs="Times New Roman"/>
          <w:b/>
          <w:bCs/>
          <w:sz w:val="24"/>
          <w:szCs w:val="24"/>
        </w:rPr>
        <w:t>Persepsi Responden pada masing-masing skala persepsi dan skor</w:t>
      </w:r>
    </w:p>
    <w:tbl>
      <w:tblPr>
        <w:tblStyle w:val="GridTable4-Accent5"/>
        <w:tblW w:w="7938" w:type="dxa"/>
        <w:tblInd w:w="-5" w:type="dxa"/>
        <w:tblLayout w:type="fixed"/>
        <w:tblLook w:val="04A0" w:firstRow="1" w:lastRow="0" w:firstColumn="1" w:lastColumn="0" w:noHBand="0" w:noVBand="1"/>
      </w:tblPr>
      <w:tblGrid>
        <w:gridCol w:w="2977"/>
        <w:gridCol w:w="691"/>
        <w:gridCol w:w="851"/>
        <w:gridCol w:w="709"/>
        <w:gridCol w:w="852"/>
        <w:gridCol w:w="1070"/>
        <w:gridCol w:w="9"/>
        <w:gridCol w:w="779"/>
      </w:tblGrid>
      <w:tr w:rsidR="00E0672D" w:rsidRPr="00E0672D" w14:paraId="4CA375FC" w14:textId="77777777" w:rsidTr="00993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703105AC" w14:textId="77777777" w:rsidR="00E0672D" w:rsidRPr="00E0672D" w:rsidRDefault="00E0672D" w:rsidP="00E0672D">
            <w:pPr>
              <w:ind w:left="32" w:firstLine="0"/>
              <w:rPr>
                <w:rFonts w:cs="Times New Roman"/>
                <w:b w:val="0"/>
                <w:bCs w:val="0"/>
              </w:rPr>
            </w:pPr>
            <w:r w:rsidRPr="00E0672D">
              <w:rPr>
                <w:rFonts w:cs="Times New Roman"/>
              </w:rPr>
              <w:t>Pernyataan Normatif (Deskripsi Semantis)</w:t>
            </w:r>
          </w:p>
        </w:tc>
        <w:tc>
          <w:tcPr>
            <w:tcW w:w="4182" w:type="dxa"/>
            <w:gridSpan w:val="6"/>
            <w:vAlign w:val="center"/>
          </w:tcPr>
          <w:p w14:paraId="23B38734" w14:textId="77777777" w:rsidR="00E0672D" w:rsidRPr="00E0672D" w:rsidRDefault="00E0672D" w:rsidP="00001F84">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E0672D">
              <w:rPr>
                <w:rFonts w:cs="Times New Roman"/>
              </w:rPr>
              <w:t>Skala Persespsi</w:t>
            </w:r>
          </w:p>
        </w:tc>
        <w:tc>
          <w:tcPr>
            <w:tcW w:w="779" w:type="dxa"/>
            <w:vAlign w:val="center"/>
          </w:tcPr>
          <w:p w14:paraId="3956A923" w14:textId="77777777" w:rsidR="00E0672D" w:rsidRPr="00E0672D" w:rsidRDefault="00E0672D" w:rsidP="00001F84">
            <w:pPr>
              <w:ind w:left="0"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E0672D">
              <w:rPr>
                <w:rFonts w:cs="Times New Roman"/>
              </w:rPr>
              <w:t>Total</w:t>
            </w:r>
          </w:p>
        </w:tc>
      </w:tr>
      <w:tr w:rsidR="00E0672D" w:rsidRPr="00E0672D" w14:paraId="4E83E126"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ign w:val="center"/>
          </w:tcPr>
          <w:p w14:paraId="35F22F52" w14:textId="77777777" w:rsidR="00E0672D" w:rsidRPr="00E0672D" w:rsidRDefault="00E0672D" w:rsidP="004E3BED">
            <w:pPr>
              <w:jc w:val="center"/>
              <w:rPr>
                <w:rFonts w:cs="Times New Roman"/>
                <w:b w:val="0"/>
                <w:bCs w:val="0"/>
              </w:rPr>
            </w:pPr>
          </w:p>
        </w:tc>
        <w:tc>
          <w:tcPr>
            <w:tcW w:w="691" w:type="dxa"/>
            <w:vAlign w:val="center"/>
          </w:tcPr>
          <w:p w14:paraId="270E3069"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SS</w:t>
            </w:r>
          </w:p>
        </w:tc>
        <w:tc>
          <w:tcPr>
            <w:tcW w:w="851" w:type="dxa"/>
            <w:vAlign w:val="center"/>
          </w:tcPr>
          <w:p w14:paraId="6663FAE4" w14:textId="475C7784"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S</w:t>
            </w:r>
          </w:p>
        </w:tc>
        <w:tc>
          <w:tcPr>
            <w:tcW w:w="709" w:type="dxa"/>
            <w:vAlign w:val="center"/>
          </w:tcPr>
          <w:p w14:paraId="249CF95C"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CS</w:t>
            </w:r>
          </w:p>
        </w:tc>
        <w:tc>
          <w:tcPr>
            <w:tcW w:w="852" w:type="dxa"/>
            <w:vAlign w:val="center"/>
          </w:tcPr>
          <w:p w14:paraId="351713EB"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TS</w:t>
            </w:r>
          </w:p>
        </w:tc>
        <w:tc>
          <w:tcPr>
            <w:tcW w:w="1070" w:type="dxa"/>
            <w:vAlign w:val="center"/>
          </w:tcPr>
          <w:p w14:paraId="5163DB83"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STS</w:t>
            </w:r>
          </w:p>
        </w:tc>
        <w:tc>
          <w:tcPr>
            <w:tcW w:w="788" w:type="dxa"/>
            <w:gridSpan w:val="2"/>
            <w:vAlign w:val="center"/>
          </w:tcPr>
          <w:p w14:paraId="7EE912D1" w14:textId="77777777" w:rsidR="00E0672D" w:rsidRPr="00001F84" w:rsidRDefault="00E0672D" w:rsidP="00001F84">
            <w:pPr>
              <w:jc w:val="center"/>
              <w:cnfStyle w:val="000000100000" w:firstRow="0" w:lastRow="0" w:firstColumn="0" w:lastColumn="0" w:oddVBand="0" w:evenVBand="0" w:oddHBand="1" w:evenHBand="0" w:firstRowFirstColumn="0" w:firstRowLastColumn="0" w:lastRowFirstColumn="0" w:lastRowLastColumn="0"/>
              <w:rPr>
                <w:rFonts w:cs="Times New Roman"/>
                <w:b/>
                <w:bCs/>
              </w:rPr>
            </w:pPr>
          </w:p>
        </w:tc>
      </w:tr>
      <w:tr w:rsidR="00E0672D" w:rsidRPr="00E0672D" w14:paraId="0D9C8B7B" w14:textId="77777777" w:rsidTr="009938B7">
        <w:tc>
          <w:tcPr>
            <w:cnfStyle w:val="001000000000" w:firstRow="0" w:lastRow="0" w:firstColumn="1" w:lastColumn="0" w:oddVBand="0" w:evenVBand="0" w:oddHBand="0" w:evenHBand="0" w:firstRowFirstColumn="0" w:firstRowLastColumn="0" w:lastRowFirstColumn="0" w:lastRowLastColumn="0"/>
            <w:tcW w:w="2977" w:type="dxa"/>
            <w:vAlign w:val="center"/>
          </w:tcPr>
          <w:p w14:paraId="34614725" w14:textId="77777777" w:rsidR="00E0672D" w:rsidRPr="00E0672D" w:rsidRDefault="00E0672D" w:rsidP="00E0672D">
            <w:pPr>
              <w:ind w:left="0" w:firstLine="0"/>
              <w:rPr>
                <w:rFonts w:cs="Times New Roman"/>
                <w:b w:val="0"/>
                <w:bCs w:val="0"/>
              </w:rPr>
            </w:pPr>
            <w:bookmarkStart w:id="1" w:name="_Hlk48597680"/>
            <w:r w:rsidRPr="00E0672D">
              <w:rPr>
                <w:rFonts w:cs="Times New Roman"/>
                <w:b w:val="0"/>
                <w:bCs w:val="0"/>
              </w:rPr>
              <w:t>Semua agama menganjurkan kebersihan (1)</w:t>
            </w:r>
          </w:p>
        </w:tc>
        <w:tc>
          <w:tcPr>
            <w:tcW w:w="691" w:type="dxa"/>
            <w:vAlign w:val="center"/>
          </w:tcPr>
          <w:p w14:paraId="12F33634"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61</w:t>
            </w:r>
          </w:p>
        </w:tc>
        <w:tc>
          <w:tcPr>
            <w:tcW w:w="851" w:type="dxa"/>
            <w:vAlign w:val="center"/>
          </w:tcPr>
          <w:p w14:paraId="1773219D"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39</w:t>
            </w:r>
          </w:p>
        </w:tc>
        <w:tc>
          <w:tcPr>
            <w:tcW w:w="709" w:type="dxa"/>
            <w:vAlign w:val="center"/>
          </w:tcPr>
          <w:p w14:paraId="36DD4AC5"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852" w:type="dxa"/>
            <w:vAlign w:val="center"/>
          </w:tcPr>
          <w:p w14:paraId="628A2D06"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1070" w:type="dxa"/>
            <w:vAlign w:val="center"/>
          </w:tcPr>
          <w:p w14:paraId="69EE27A1"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70732D44"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100</w:t>
            </w:r>
          </w:p>
        </w:tc>
      </w:tr>
      <w:tr w:rsidR="00E0672D" w:rsidRPr="00E0672D" w14:paraId="1B20248D"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99FB83D" w14:textId="77777777" w:rsidR="00E0672D" w:rsidRPr="00E0672D" w:rsidRDefault="00E0672D" w:rsidP="00E0672D">
            <w:pPr>
              <w:ind w:left="0" w:firstLine="0"/>
              <w:rPr>
                <w:rFonts w:cs="Times New Roman"/>
                <w:b w:val="0"/>
                <w:bCs w:val="0"/>
              </w:rPr>
            </w:pPr>
            <w:r w:rsidRPr="00E0672D">
              <w:rPr>
                <w:rFonts w:cs="Times New Roman"/>
                <w:b w:val="0"/>
                <w:bCs w:val="0"/>
              </w:rPr>
              <w:t>Sampah adalah barang berharga/bernilai (2)</w:t>
            </w:r>
          </w:p>
        </w:tc>
        <w:tc>
          <w:tcPr>
            <w:tcW w:w="691" w:type="dxa"/>
            <w:vAlign w:val="center"/>
          </w:tcPr>
          <w:p w14:paraId="0F6BCBBD"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w:t>
            </w:r>
          </w:p>
        </w:tc>
        <w:tc>
          <w:tcPr>
            <w:tcW w:w="851" w:type="dxa"/>
            <w:vAlign w:val="center"/>
          </w:tcPr>
          <w:p w14:paraId="3573C164"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15</w:t>
            </w:r>
          </w:p>
        </w:tc>
        <w:tc>
          <w:tcPr>
            <w:tcW w:w="709" w:type="dxa"/>
            <w:vAlign w:val="center"/>
          </w:tcPr>
          <w:p w14:paraId="34CEE7DB"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23</w:t>
            </w:r>
          </w:p>
        </w:tc>
        <w:tc>
          <w:tcPr>
            <w:tcW w:w="852" w:type="dxa"/>
            <w:vAlign w:val="center"/>
          </w:tcPr>
          <w:p w14:paraId="00A17DD3"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30</w:t>
            </w:r>
          </w:p>
        </w:tc>
        <w:tc>
          <w:tcPr>
            <w:tcW w:w="1070" w:type="dxa"/>
            <w:vAlign w:val="center"/>
          </w:tcPr>
          <w:p w14:paraId="4E64C325" w14:textId="4268D1D8" w:rsidR="00E0672D" w:rsidRPr="00001F84" w:rsidRDefault="00E0672D" w:rsidP="00001F8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2</w:t>
            </w:r>
          </w:p>
        </w:tc>
        <w:tc>
          <w:tcPr>
            <w:tcW w:w="788" w:type="dxa"/>
            <w:gridSpan w:val="2"/>
            <w:vAlign w:val="center"/>
          </w:tcPr>
          <w:p w14:paraId="0A9F44D4"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100</w:t>
            </w:r>
          </w:p>
        </w:tc>
      </w:tr>
      <w:tr w:rsidR="00E0672D" w:rsidRPr="00E0672D" w14:paraId="4627E919" w14:textId="77777777" w:rsidTr="009938B7">
        <w:tc>
          <w:tcPr>
            <w:cnfStyle w:val="001000000000" w:firstRow="0" w:lastRow="0" w:firstColumn="1" w:lastColumn="0" w:oddVBand="0" w:evenVBand="0" w:oddHBand="0" w:evenHBand="0" w:firstRowFirstColumn="0" w:firstRowLastColumn="0" w:lastRowFirstColumn="0" w:lastRowLastColumn="0"/>
            <w:tcW w:w="2977" w:type="dxa"/>
            <w:vAlign w:val="center"/>
          </w:tcPr>
          <w:p w14:paraId="3B26FD28" w14:textId="77777777" w:rsidR="00E0672D" w:rsidRPr="00E0672D" w:rsidRDefault="00E0672D" w:rsidP="00E0672D">
            <w:pPr>
              <w:ind w:left="0" w:firstLine="0"/>
              <w:rPr>
                <w:rFonts w:cs="Times New Roman"/>
                <w:b w:val="0"/>
                <w:bCs w:val="0"/>
              </w:rPr>
            </w:pPr>
            <w:r w:rsidRPr="00E0672D">
              <w:rPr>
                <w:rFonts w:cs="Times New Roman"/>
                <w:b w:val="0"/>
                <w:bCs w:val="0"/>
              </w:rPr>
              <w:t>Sampah menjadi masalah sosial, ekonomi dan budaya (3)</w:t>
            </w:r>
          </w:p>
        </w:tc>
        <w:tc>
          <w:tcPr>
            <w:tcW w:w="691" w:type="dxa"/>
            <w:vAlign w:val="center"/>
          </w:tcPr>
          <w:p w14:paraId="61CAA964"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15</w:t>
            </w:r>
          </w:p>
        </w:tc>
        <w:tc>
          <w:tcPr>
            <w:tcW w:w="851" w:type="dxa"/>
            <w:vAlign w:val="center"/>
          </w:tcPr>
          <w:p w14:paraId="36D15492"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w:t>
            </w:r>
          </w:p>
        </w:tc>
        <w:tc>
          <w:tcPr>
            <w:tcW w:w="709" w:type="dxa"/>
            <w:vAlign w:val="center"/>
          </w:tcPr>
          <w:p w14:paraId="17A62674"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25</w:t>
            </w:r>
          </w:p>
        </w:tc>
        <w:tc>
          <w:tcPr>
            <w:tcW w:w="852" w:type="dxa"/>
            <w:vAlign w:val="center"/>
          </w:tcPr>
          <w:p w14:paraId="5C1DF992"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30</w:t>
            </w:r>
          </w:p>
        </w:tc>
        <w:tc>
          <w:tcPr>
            <w:tcW w:w="1070" w:type="dxa"/>
            <w:vAlign w:val="center"/>
          </w:tcPr>
          <w:p w14:paraId="04FC302F" w14:textId="2686185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20</w:t>
            </w:r>
          </w:p>
        </w:tc>
        <w:tc>
          <w:tcPr>
            <w:tcW w:w="788" w:type="dxa"/>
            <w:gridSpan w:val="2"/>
            <w:vAlign w:val="center"/>
          </w:tcPr>
          <w:p w14:paraId="59D11BE4"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100</w:t>
            </w:r>
          </w:p>
        </w:tc>
      </w:tr>
      <w:tr w:rsidR="00E0672D" w:rsidRPr="00E0672D" w14:paraId="2E37355A"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42633CF" w14:textId="77777777" w:rsidR="00E0672D" w:rsidRPr="00E0672D" w:rsidRDefault="00E0672D" w:rsidP="00E0672D">
            <w:pPr>
              <w:ind w:left="0" w:firstLine="0"/>
              <w:rPr>
                <w:rFonts w:cs="Times New Roman"/>
                <w:b w:val="0"/>
                <w:bCs w:val="0"/>
              </w:rPr>
            </w:pPr>
            <w:r w:rsidRPr="00E0672D">
              <w:rPr>
                <w:rFonts w:cs="Times New Roman"/>
                <w:b w:val="0"/>
                <w:bCs w:val="0"/>
              </w:rPr>
              <w:t>Sampah adalah urusan individu, keluarga, dan masyarakat (4)</w:t>
            </w:r>
          </w:p>
        </w:tc>
        <w:tc>
          <w:tcPr>
            <w:tcW w:w="691" w:type="dxa"/>
            <w:vAlign w:val="center"/>
          </w:tcPr>
          <w:p w14:paraId="489E49DD"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30</w:t>
            </w:r>
          </w:p>
        </w:tc>
        <w:tc>
          <w:tcPr>
            <w:tcW w:w="851" w:type="dxa"/>
            <w:vAlign w:val="center"/>
          </w:tcPr>
          <w:p w14:paraId="7B848FEE"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40</w:t>
            </w:r>
          </w:p>
        </w:tc>
        <w:tc>
          <w:tcPr>
            <w:tcW w:w="709" w:type="dxa"/>
            <w:vAlign w:val="center"/>
          </w:tcPr>
          <w:p w14:paraId="279285D6"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30</w:t>
            </w:r>
          </w:p>
        </w:tc>
        <w:tc>
          <w:tcPr>
            <w:tcW w:w="852" w:type="dxa"/>
            <w:vAlign w:val="center"/>
          </w:tcPr>
          <w:p w14:paraId="3B253DA1"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w:t>
            </w:r>
          </w:p>
        </w:tc>
        <w:tc>
          <w:tcPr>
            <w:tcW w:w="1070" w:type="dxa"/>
            <w:vAlign w:val="center"/>
          </w:tcPr>
          <w:p w14:paraId="1EBA2FFE" w14:textId="77777777" w:rsidR="00E0672D" w:rsidRPr="00001F84" w:rsidRDefault="00E0672D" w:rsidP="00001F8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67CFE954"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100</w:t>
            </w:r>
          </w:p>
        </w:tc>
      </w:tr>
      <w:tr w:rsidR="00E0672D" w:rsidRPr="00E0672D" w14:paraId="707AD159" w14:textId="77777777" w:rsidTr="009938B7">
        <w:tc>
          <w:tcPr>
            <w:cnfStyle w:val="001000000000" w:firstRow="0" w:lastRow="0" w:firstColumn="1" w:lastColumn="0" w:oddVBand="0" w:evenVBand="0" w:oddHBand="0" w:evenHBand="0" w:firstRowFirstColumn="0" w:firstRowLastColumn="0" w:lastRowFirstColumn="0" w:lastRowLastColumn="0"/>
            <w:tcW w:w="2977" w:type="dxa"/>
            <w:vAlign w:val="center"/>
          </w:tcPr>
          <w:p w14:paraId="17067E83" w14:textId="77777777" w:rsidR="00E0672D" w:rsidRPr="00E0672D" w:rsidRDefault="00E0672D" w:rsidP="00E0672D">
            <w:pPr>
              <w:ind w:left="0" w:firstLine="0"/>
              <w:rPr>
                <w:rFonts w:cs="Times New Roman"/>
                <w:b w:val="0"/>
                <w:bCs w:val="0"/>
              </w:rPr>
            </w:pPr>
            <w:bookmarkStart w:id="2" w:name="_Hlk48596416"/>
            <w:r w:rsidRPr="00E0672D">
              <w:rPr>
                <w:rFonts w:cs="Times New Roman"/>
                <w:b w:val="0"/>
                <w:bCs w:val="0"/>
              </w:rPr>
              <w:t>Sepuluh tahun terakhir, sejak 2011, sampah menjadi masalah serius (5)</w:t>
            </w:r>
          </w:p>
        </w:tc>
        <w:tc>
          <w:tcPr>
            <w:tcW w:w="691" w:type="dxa"/>
            <w:vAlign w:val="center"/>
          </w:tcPr>
          <w:p w14:paraId="6F301FA2"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20</w:t>
            </w:r>
          </w:p>
        </w:tc>
        <w:tc>
          <w:tcPr>
            <w:tcW w:w="851" w:type="dxa"/>
            <w:vAlign w:val="center"/>
          </w:tcPr>
          <w:p w14:paraId="243A84F6"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20</w:t>
            </w:r>
          </w:p>
        </w:tc>
        <w:tc>
          <w:tcPr>
            <w:tcW w:w="709" w:type="dxa"/>
            <w:vAlign w:val="center"/>
          </w:tcPr>
          <w:p w14:paraId="740B95A0"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50</w:t>
            </w:r>
          </w:p>
        </w:tc>
        <w:tc>
          <w:tcPr>
            <w:tcW w:w="852" w:type="dxa"/>
            <w:vAlign w:val="center"/>
          </w:tcPr>
          <w:p w14:paraId="7B78072B"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w:t>
            </w:r>
          </w:p>
        </w:tc>
        <w:tc>
          <w:tcPr>
            <w:tcW w:w="1070" w:type="dxa"/>
            <w:vAlign w:val="center"/>
          </w:tcPr>
          <w:p w14:paraId="46B7FA20" w14:textId="77777777" w:rsidR="00E0672D" w:rsidRPr="00001F84" w:rsidRDefault="00E0672D" w:rsidP="00001F8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1B03810F"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100</w:t>
            </w:r>
          </w:p>
        </w:tc>
      </w:tr>
      <w:bookmarkEnd w:id="2"/>
      <w:tr w:rsidR="00E0672D" w:rsidRPr="00E0672D" w14:paraId="6DA322B8"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2BE2650" w14:textId="77777777" w:rsidR="00E0672D" w:rsidRPr="00E0672D" w:rsidRDefault="00E0672D" w:rsidP="00E0672D">
            <w:pPr>
              <w:ind w:left="0" w:firstLine="0"/>
              <w:rPr>
                <w:rFonts w:cs="Times New Roman"/>
                <w:b w:val="0"/>
                <w:bCs w:val="0"/>
              </w:rPr>
            </w:pPr>
            <w:r w:rsidRPr="00E0672D">
              <w:rPr>
                <w:rFonts w:cs="Times New Roman"/>
                <w:b w:val="0"/>
                <w:bCs w:val="0"/>
              </w:rPr>
              <w:t>Tahun 2017 Kementrian KLH mencatat 67 juta ton sampah: 60% sampah organik, dan 15% sampah plastik (6)</w:t>
            </w:r>
          </w:p>
        </w:tc>
        <w:tc>
          <w:tcPr>
            <w:tcW w:w="691" w:type="dxa"/>
            <w:vAlign w:val="center"/>
          </w:tcPr>
          <w:p w14:paraId="43D0A2F4"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20</w:t>
            </w:r>
          </w:p>
        </w:tc>
        <w:tc>
          <w:tcPr>
            <w:tcW w:w="851" w:type="dxa"/>
            <w:vAlign w:val="center"/>
          </w:tcPr>
          <w:p w14:paraId="360846F4"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20</w:t>
            </w:r>
          </w:p>
        </w:tc>
        <w:tc>
          <w:tcPr>
            <w:tcW w:w="709" w:type="dxa"/>
            <w:vAlign w:val="center"/>
          </w:tcPr>
          <w:p w14:paraId="7696D016"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50</w:t>
            </w:r>
          </w:p>
        </w:tc>
        <w:tc>
          <w:tcPr>
            <w:tcW w:w="852" w:type="dxa"/>
            <w:vAlign w:val="center"/>
          </w:tcPr>
          <w:p w14:paraId="12B9C6D8"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w:t>
            </w:r>
          </w:p>
        </w:tc>
        <w:tc>
          <w:tcPr>
            <w:tcW w:w="1070" w:type="dxa"/>
            <w:vAlign w:val="center"/>
          </w:tcPr>
          <w:p w14:paraId="7C0E00D7" w14:textId="77777777" w:rsidR="00E0672D" w:rsidRPr="00001F84" w:rsidRDefault="00E0672D" w:rsidP="00001F8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40433709"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100</w:t>
            </w:r>
          </w:p>
        </w:tc>
      </w:tr>
      <w:tr w:rsidR="00E0672D" w:rsidRPr="00E0672D" w14:paraId="7B4F7312" w14:textId="77777777" w:rsidTr="009938B7">
        <w:tc>
          <w:tcPr>
            <w:cnfStyle w:val="001000000000" w:firstRow="0" w:lastRow="0" w:firstColumn="1" w:lastColumn="0" w:oddVBand="0" w:evenVBand="0" w:oddHBand="0" w:evenHBand="0" w:firstRowFirstColumn="0" w:firstRowLastColumn="0" w:lastRowFirstColumn="0" w:lastRowLastColumn="0"/>
            <w:tcW w:w="2977" w:type="dxa"/>
            <w:vAlign w:val="center"/>
          </w:tcPr>
          <w:p w14:paraId="2677CD81" w14:textId="77777777" w:rsidR="00E0672D" w:rsidRPr="00E0672D" w:rsidRDefault="00E0672D" w:rsidP="00E0672D">
            <w:pPr>
              <w:ind w:left="0" w:firstLine="0"/>
              <w:rPr>
                <w:rFonts w:cs="Times New Roman"/>
                <w:b w:val="0"/>
                <w:bCs w:val="0"/>
              </w:rPr>
            </w:pPr>
            <w:r w:rsidRPr="00E0672D">
              <w:rPr>
                <w:rFonts w:cs="Times New Roman"/>
                <w:b w:val="0"/>
                <w:bCs w:val="0"/>
              </w:rPr>
              <w:t>Sampah berhubungan dengan penyakit dan tingkat Kesehatan masyarakat (7)</w:t>
            </w:r>
          </w:p>
        </w:tc>
        <w:tc>
          <w:tcPr>
            <w:tcW w:w="691" w:type="dxa"/>
            <w:vAlign w:val="center"/>
          </w:tcPr>
          <w:p w14:paraId="5D138DA0"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53</w:t>
            </w:r>
          </w:p>
        </w:tc>
        <w:tc>
          <w:tcPr>
            <w:tcW w:w="851" w:type="dxa"/>
            <w:vAlign w:val="center"/>
          </w:tcPr>
          <w:p w14:paraId="522D2311"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34</w:t>
            </w:r>
          </w:p>
        </w:tc>
        <w:tc>
          <w:tcPr>
            <w:tcW w:w="709" w:type="dxa"/>
            <w:vAlign w:val="center"/>
          </w:tcPr>
          <w:p w14:paraId="28A72B41"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23</w:t>
            </w:r>
          </w:p>
        </w:tc>
        <w:tc>
          <w:tcPr>
            <w:tcW w:w="852" w:type="dxa"/>
            <w:vAlign w:val="center"/>
          </w:tcPr>
          <w:p w14:paraId="30331B8E"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1070" w:type="dxa"/>
            <w:vAlign w:val="center"/>
          </w:tcPr>
          <w:p w14:paraId="33B4E03E" w14:textId="77777777" w:rsidR="00E0672D" w:rsidRPr="00001F84" w:rsidRDefault="00E0672D" w:rsidP="00001F8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3D0B7334"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100</w:t>
            </w:r>
          </w:p>
        </w:tc>
      </w:tr>
      <w:tr w:rsidR="00E0672D" w:rsidRPr="00E0672D" w14:paraId="6A764537"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1FE69EF" w14:textId="77777777" w:rsidR="00E0672D" w:rsidRPr="00E0672D" w:rsidRDefault="00E0672D" w:rsidP="00E0672D">
            <w:pPr>
              <w:ind w:left="0" w:firstLine="0"/>
              <w:rPr>
                <w:rFonts w:cs="Times New Roman"/>
                <w:b w:val="0"/>
                <w:bCs w:val="0"/>
              </w:rPr>
            </w:pPr>
            <w:r w:rsidRPr="00E0672D">
              <w:rPr>
                <w:rFonts w:cs="Times New Roman"/>
                <w:b w:val="0"/>
                <w:bCs w:val="0"/>
              </w:rPr>
              <w:t>Diperlukan kesadaran dan pengetahuan bersama bahwa sampah menjadi tanggung jawab bersama antara masyarakat dan pemerintah (8)</w:t>
            </w:r>
          </w:p>
        </w:tc>
        <w:tc>
          <w:tcPr>
            <w:tcW w:w="691" w:type="dxa"/>
            <w:vAlign w:val="center"/>
          </w:tcPr>
          <w:p w14:paraId="0832BAFD"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56</w:t>
            </w:r>
          </w:p>
        </w:tc>
        <w:tc>
          <w:tcPr>
            <w:tcW w:w="851" w:type="dxa"/>
            <w:vAlign w:val="center"/>
          </w:tcPr>
          <w:p w14:paraId="1D3C2220"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43</w:t>
            </w:r>
          </w:p>
        </w:tc>
        <w:tc>
          <w:tcPr>
            <w:tcW w:w="709" w:type="dxa"/>
            <w:vAlign w:val="center"/>
          </w:tcPr>
          <w:p w14:paraId="26F5F187"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w:t>
            </w:r>
          </w:p>
        </w:tc>
        <w:tc>
          <w:tcPr>
            <w:tcW w:w="852" w:type="dxa"/>
            <w:vAlign w:val="center"/>
          </w:tcPr>
          <w:p w14:paraId="443FA1F5"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w:t>
            </w:r>
          </w:p>
        </w:tc>
        <w:tc>
          <w:tcPr>
            <w:tcW w:w="1070" w:type="dxa"/>
            <w:vAlign w:val="center"/>
          </w:tcPr>
          <w:p w14:paraId="58350CA5" w14:textId="77777777" w:rsidR="00E0672D" w:rsidRPr="00001F84" w:rsidRDefault="00E0672D" w:rsidP="00001F8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0632EB37"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100</w:t>
            </w:r>
          </w:p>
        </w:tc>
      </w:tr>
      <w:tr w:rsidR="00E0672D" w:rsidRPr="00E0672D" w14:paraId="20D61F12" w14:textId="77777777" w:rsidTr="009938B7">
        <w:tc>
          <w:tcPr>
            <w:cnfStyle w:val="001000000000" w:firstRow="0" w:lastRow="0" w:firstColumn="1" w:lastColumn="0" w:oddVBand="0" w:evenVBand="0" w:oddHBand="0" w:evenHBand="0" w:firstRowFirstColumn="0" w:firstRowLastColumn="0" w:lastRowFirstColumn="0" w:lastRowLastColumn="0"/>
            <w:tcW w:w="2977" w:type="dxa"/>
            <w:vAlign w:val="center"/>
          </w:tcPr>
          <w:p w14:paraId="564A3D93" w14:textId="77777777" w:rsidR="00E0672D" w:rsidRPr="00E0672D" w:rsidRDefault="00E0672D" w:rsidP="00E0672D">
            <w:pPr>
              <w:ind w:left="0" w:firstLine="0"/>
              <w:rPr>
                <w:rFonts w:cs="Times New Roman"/>
                <w:b w:val="0"/>
                <w:bCs w:val="0"/>
              </w:rPr>
            </w:pPr>
            <w:r w:rsidRPr="00E0672D">
              <w:rPr>
                <w:rFonts w:cs="Times New Roman"/>
                <w:b w:val="0"/>
                <w:bCs w:val="0"/>
              </w:rPr>
              <w:t>Lingkungan bersih dari sampah menciptakan kondisi asri, harmonis, dan sehat (9)</w:t>
            </w:r>
          </w:p>
        </w:tc>
        <w:tc>
          <w:tcPr>
            <w:tcW w:w="691" w:type="dxa"/>
            <w:vAlign w:val="center"/>
          </w:tcPr>
          <w:p w14:paraId="79290E22"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46</w:t>
            </w:r>
          </w:p>
        </w:tc>
        <w:tc>
          <w:tcPr>
            <w:tcW w:w="851" w:type="dxa"/>
            <w:vAlign w:val="center"/>
          </w:tcPr>
          <w:p w14:paraId="37103779"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48</w:t>
            </w:r>
          </w:p>
        </w:tc>
        <w:tc>
          <w:tcPr>
            <w:tcW w:w="709" w:type="dxa"/>
            <w:vAlign w:val="center"/>
          </w:tcPr>
          <w:p w14:paraId="042CE006"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6</w:t>
            </w:r>
          </w:p>
        </w:tc>
        <w:tc>
          <w:tcPr>
            <w:tcW w:w="852" w:type="dxa"/>
            <w:vAlign w:val="center"/>
          </w:tcPr>
          <w:p w14:paraId="489AE919"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1070" w:type="dxa"/>
            <w:vAlign w:val="center"/>
          </w:tcPr>
          <w:p w14:paraId="79ED3048" w14:textId="77777777" w:rsidR="00E0672D" w:rsidRPr="00001F84" w:rsidRDefault="00E0672D" w:rsidP="00001F8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1B622FF2" w14:textId="77777777" w:rsidR="00E0672D" w:rsidRPr="00001F84" w:rsidRDefault="00E0672D" w:rsidP="00001F84">
            <w:pPr>
              <w:ind w:left="0"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100</w:t>
            </w:r>
          </w:p>
        </w:tc>
      </w:tr>
      <w:tr w:rsidR="00E0672D" w:rsidRPr="00E0672D" w14:paraId="49943B8A"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172CC4E" w14:textId="77777777" w:rsidR="00E0672D" w:rsidRPr="00E0672D" w:rsidRDefault="00E0672D" w:rsidP="00E0672D">
            <w:pPr>
              <w:ind w:left="0" w:firstLine="0"/>
              <w:rPr>
                <w:rFonts w:cs="Times New Roman"/>
                <w:b w:val="0"/>
                <w:bCs w:val="0"/>
              </w:rPr>
            </w:pPr>
            <w:r w:rsidRPr="00E0672D">
              <w:rPr>
                <w:rFonts w:cs="Times New Roman"/>
                <w:b w:val="0"/>
                <w:bCs w:val="0"/>
              </w:rPr>
              <w:t>Jika masalah sampah tidak diseriusi, akan menjadi masalah bersama di kemudian hari (polusi udara, banjir, gangguan fungsi ekosistem lingkungan) (10)</w:t>
            </w:r>
          </w:p>
        </w:tc>
        <w:tc>
          <w:tcPr>
            <w:tcW w:w="691" w:type="dxa"/>
            <w:vAlign w:val="center"/>
          </w:tcPr>
          <w:p w14:paraId="3C14B337"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30</w:t>
            </w:r>
          </w:p>
        </w:tc>
        <w:tc>
          <w:tcPr>
            <w:tcW w:w="851" w:type="dxa"/>
            <w:vAlign w:val="center"/>
          </w:tcPr>
          <w:p w14:paraId="012C0785"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47</w:t>
            </w:r>
          </w:p>
        </w:tc>
        <w:tc>
          <w:tcPr>
            <w:tcW w:w="709" w:type="dxa"/>
            <w:vAlign w:val="center"/>
          </w:tcPr>
          <w:p w14:paraId="1129382F"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23</w:t>
            </w:r>
          </w:p>
        </w:tc>
        <w:tc>
          <w:tcPr>
            <w:tcW w:w="852" w:type="dxa"/>
            <w:vAlign w:val="center"/>
          </w:tcPr>
          <w:p w14:paraId="755D25C2"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w:t>
            </w:r>
          </w:p>
        </w:tc>
        <w:tc>
          <w:tcPr>
            <w:tcW w:w="1070" w:type="dxa"/>
            <w:vAlign w:val="center"/>
          </w:tcPr>
          <w:p w14:paraId="117E8225" w14:textId="77777777" w:rsidR="00E0672D" w:rsidRPr="00001F84" w:rsidRDefault="00E0672D" w:rsidP="00001F8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w:t>
            </w:r>
          </w:p>
        </w:tc>
        <w:tc>
          <w:tcPr>
            <w:tcW w:w="788" w:type="dxa"/>
            <w:gridSpan w:val="2"/>
            <w:vAlign w:val="center"/>
          </w:tcPr>
          <w:p w14:paraId="3D538EA6"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100</w:t>
            </w:r>
          </w:p>
        </w:tc>
      </w:tr>
      <w:bookmarkEnd w:id="1"/>
    </w:tbl>
    <w:p w14:paraId="56BCF0AD" w14:textId="77777777" w:rsidR="00E0672D" w:rsidRPr="000D6DD1" w:rsidRDefault="00E0672D" w:rsidP="00E0672D">
      <w:pPr>
        <w:rPr>
          <w:rFonts w:ascii="Garamond" w:hAnsi="Garamond" w:cs="Times New Roman"/>
          <w:sz w:val="24"/>
          <w:szCs w:val="24"/>
        </w:rPr>
      </w:pPr>
    </w:p>
    <w:p w14:paraId="296A0AFE" w14:textId="77777777" w:rsidR="00E0672D" w:rsidRPr="00001F84" w:rsidRDefault="00E0672D" w:rsidP="009938B7">
      <w:pPr>
        <w:ind w:hanging="709"/>
        <w:rPr>
          <w:rFonts w:cs="Times New Roman"/>
        </w:rPr>
      </w:pPr>
      <w:r w:rsidRPr="00001F84">
        <w:rPr>
          <w:rFonts w:cs="Times New Roman"/>
        </w:rPr>
        <w:t xml:space="preserve">Keterangan singkatan: </w:t>
      </w:r>
    </w:p>
    <w:p w14:paraId="64348C8F" w14:textId="77777777" w:rsidR="00E0672D" w:rsidRPr="00001F84" w:rsidRDefault="00E0672D" w:rsidP="009938B7">
      <w:pPr>
        <w:ind w:hanging="709"/>
        <w:rPr>
          <w:rFonts w:cs="Times New Roman"/>
        </w:rPr>
      </w:pPr>
      <w:r w:rsidRPr="00001F84">
        <w:rPr>
          <w:rFonts w:cs="Times New Roman"/>
        </w:rPr>
        <w:t>SS =Sangat Setuju</w:t>
      </w:r>
    </w:p>
    <w:p w14:paraId="4F01456E" w14:textId="77777777" w:rsidR="00E0672D" w:rsidRPr="00001F84" w:rsidRDefault="00E0672D" w:rsidP="009938B7">
      <w:pPr>
        <w:ind w:hanging="709"/>
        <w:rPr>
          <w:rFonts w:cs="Times New Roman"/>
        </w:rPr>
      </w:pPr>
      <w:r w:rsidRPr="00001F84">
        <w:rPr>
          <w:rFonts w:cs="Times New Roman"/>
        </w:rPr>
        <w:t>S=Setuju</w:t>
      </w:r>
    </w:p>
    <w:p w14:paraId="7ED173FC" w14:textId="77777777" w:rsidR="00E0672D" w:rsidRPr="00001F84" w:rsidRDefault="00E0672D" w:rsidP="009938B7">
      <w:pPr>
        <w:ind w:hanging="709"/>
        <w:rPr>
          <w:rFonts w:cs="Times New Roman"/>
        </w:rPr>
      </w:pPr>
      <w:r w:rsidRPr="00001F84">
        <w:rPr>
          <w:rFonts w:cs="Times New Roman"/>
        </w:rPr>
        <w:t>CS=Cukup Setuju</w:t>
      </w:r>
    </w:p>
    <w:p w14:paraId="445B8162" w14:textId="77777777" w:rsidR="00E0672D" w:rsidRPr="00001F84" w:rsidRDefault="00E0672D" w:rsidP="009938B7">
      <w:pPr>
        <w:ind w:hanging="709"/>
        <w:rPr>
          <w:rFonts w:cs="Times New Roman"/>
        </w:rPr>
      </w:pPr>
      <w:r w:rsidRPr="00001F84">
        <w:rPr>
          <w:rFonts w:cs="Times New Roman"/>
        </w:rPr>
        <w:t>TS=Tidak Setuju</w:t>
      </w:r>
    </w:p>
    <w:p w14:paraId="057F69BE" w14:textId="77777777" w:rsidR="00E0672D" w:rsidRPr="00001F84" w:rsidRDefault="00E0672D" w:rsidP="009938B7">
      <w:pPr>
        <w:ind w:hanging="709"/>
        <w:rPr>
          <w:rFonts w:cs="Times New Roman"/>
        </w:rPr>
      </w:pPr>
      <w:r w:rsidRPr="00001F84">
        <w:rPr>
          <w:rFonts w:cs="Times New Roman"/>
        </w:rPr>
        <w:t>STS=Sangat Tidak Setuju</w:t>
      </w:r>
    </w:p>
    <w:p w14:paraId="04084909" w14:textId="77777777" w:rsidR="00E0672D" w:rsidRPr="00001F84" w:rsidRDefault="00E0672D" w:rsidP="00E0672D">
      <w:pPr>
        <w:rPr>
          <w:rFonts w:cs="Times New Roman"/>
        </w:rPr>
      </w:pPr>
    </w:p>
    <w:p w14:paraId="4CE69BC9" w14:textId="77777777" w:rsidR="00E0672D" w:rsidRPr="00001F84" w:rsidRDefault="00E0672D" w:rsidP="009938B7">
      <w:pPr>
        <w:ind w:left="0" w:firstLine="720"/>
        <w:rPr>
          <w:rFonts w:cs="Times New Roman"/>
        </w:rPr>
      </w:pPr>
      <w:r w:rsidRPr="00001F84">
        <w:rPr>
          <w:rFonts w:cs="Times New Roman"/>
        </w:rPr>
        <w:t>Selanjutnya, jumlah responden yang memilih lima persepsi pada 10 perspesi pada tabel 2, dihitung dengan mengalikan jumlah responden (n) yang menyatakan persepsi tertentu terhadap nilai skor pernyataan, dan dibagi dengan seluruh responden (N), diperoleh hasil sebagaimana pada tabel 3 berikut:</w:t>
      </w:r>
    </w:p>
    <w:p w14:paraId="2D127C89" w14:textId="77777777" w:rsidR="009938B7" w:rsidRDefault="009938B7" w:rsidP="00001F84">
      <w:pPr>
        <w:spacing w:line="276" w:lineRule="auto"/>
        <w:ind w:left="0" w:firstLine="0"/>
        <w:jc w:val="center"/>
        <w:rPr>
          <w:rFonts w:cs="Times New Roman"/>
          <w:b/>
          <w:bCs/>
        </w:rPr>
      </w:pPr>
    </w:p>
    <w:p w14:paraId="72C9043F" w14:textId="77777777" w:rsidR="009938B7" w:rsidRDefault="009938B7" w:rsidP="00001F84">
      <w:pPr>
        <w:spacing w:line="276" w:lineRule="auto"/>
        <w:ind w:left="0" w:firstLine="0"/>
        <w:jc w:val="center"/>
        <w:rPr>
          <w:rFonts w:cs="Times New Roman"/>
          <w:b/>
          <w:bCs/>
        </w:rPr>
      </w:pPr>
    </w:p>
    <w:p w14:paraId="467B6681" w14:textId="77777777" w:rsidR="009938B7" w:rsidRDefault="009938B7" w:rsidP="00001F84">
      <w:pPr>
        <w:spacing w:line="276" w:lineRule="auto"/>
        <w:ind w:left="0" w:firstLine="0"/>
        <w:jc w:val="center"/>
        <w:rPr>
          <w:rFonts w:cs="Times New Roman"/>
          <w:b/>
          <w:bCs/>
        </w:rPr>
      </w:pPr>
    </w:p>
    <w:p w14:paraId="490B697C" w14:textId="77777777" w:rsidR="009938B7" w:rsidRDefault="009938B7" w:rsidP="00001F84">
      <w:pPr>
        <w:spacing w:line="276" w:lineRule="auto"/>
        <w:ind w:left="0" w:firstLine="0"/>
        <w:jc w:val="center"/>
        <w:rPr>
          <w:rFonts w:cs="Times New Roman"/>
          <w:b/>
          <w:bCs/>
        </w:rPr>
      </w:pPr>
    </w:p>
    <w:p w14:paraId="45F34CBB" w14:textId="07184493" w:rsidR="00E0672D" w:rsidRPr="00001F84" w:rsidRDefault="00E0672D" w:rsidP="00001F84">
      <w:pPr>
        <w:spacing w:line="276" w:lineRule="auto"/>
        <w:ind w:left="0" w:firstLine="0"/>
        <w:jc w:val="center"/>
        <w:rPr>
          <w:rFonts w:cs="Times New Roman"/>
          <w:b/>
          <w:bCs/>
        </w:rPr>
      </w:pPr>
      <w:r w:rsidRPr="00001F84">
        <w:rPr>
          <w:rFonts w:cs="Times New Roman"/>
          <w:b/>
          <w:bCs/>
        </w:rPr>
        <w:t>Tabel 3:</w:t>
      </w:r>
    </w:p>
    <w:p w14:paraId="21D36C31" w14:textId="77777777" w:rsidR="00E0672D" w:rsidRPr="00001F84" w:rsidRDefault="00E0672D" w:rsidP="00001F84">
      <w:pPr>
        <w:spacing w:line="276" w:lineRule="auto"/>
        <w:ind w:left="0" w:firstLine="0"/>
        <w:jc w:val="center"/>
        <w:rPr>
          <w:rFonts w:cs="Times New Roman"/>
          <w:b/>
          <w:bCs/>
        </w:rPr>
      </w:pPr>
      <w:r w:rsidRPr="00001F84">
        <w:rPr>
          <w:rFonts w:cs="Times New Roman"/>
          <w:b/>
          <w:bCs/>
        </w:rPr>
        <w:t>Skor peserta di antara keseluruhan peserta</w:t>
      </w:r>
    </w:p>
    <w:tbl>
      <w:tblPr>
        <w:tblStyle w:val="GridTable4-Accent5"/>
        <w:tblW w:w="7768" w:type="dxa"/>
        <w:tblInd w:w="-147" w:type="dxa"/>
        <w:tblLayout w:type="fixed"/>
        <w:tblLook w:val="04A0" w:firstRow="1" w:lastRow="0" w:firstColumn="1" w:lastColumn="0" w:noHBand="0" w:noVBand="1"/>
      </w:tblPr>
      <w:tblGrid>
        <w:gridCol w:w="3545"/>
        <w:gridCol w:w="606"/>
        <w:gridCol w:w="606"/>
        <w:gridCol w:w="606"/>
        <w:gridCol w:w="606"/>
        <w:gridCol w:w="849"/>
        <w:gridCol w:w="950"/>
      </w:tblGrid>
      <w:tr w:rsidR="00001F84" w:rsidRPr="00001F84" w14:paraId="5DDA0898" w14:textId="77777777" w:rsidTr="00993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vMerge w:val="restart"/>
            <w:vAlign w:val="center"/>
          </w:tcPr>
          <w:p w14:paraId="46EA4780" w14:textId="6CA360D7" w:rsidR="00E0672D" w:rsidRPr="00001F84" w:rsidRDefault="00E0672D" w:rsidP="00001F84">
            <w:pPr>
              <w:ind w:left="0" w:firstLine="0"/>
              <w:rPr>
                <w:rFonts w:cs="Times New Roman"/>
                <w:b w:val="0"/>
                <w:bCs w:val="0"/>
              </w:rPr>
            </w:pPr>
            <w:r w:rsidRPr="00001F84">
              <w:rPr>
                <w:rFonts w:cs="Times New Roman"/>
              </w:rPr>
              <w:t>Pernyataan</w:t>
            </w:r>
            <w:r w:rsidR="00001F84" w:rsidRPr="00001F84">
              <w:rPr>
                <w:rFonts w:cs="Times New Roman"/>
                <w:lang w:val="en-US"/>
              </w:rPr>
              <w:t xml:space="preserve"> </w:t>
            </w:r>
            <w:r w:rsidRPr="00001F84">
              <w:rPr>
                <w:rFonts w:cs="Times New Roman"/>
              </w:rPr>
              <w:t>Normatif (Deskripsi Semantis)</w:t>
            </w:r>
          </w:p>
        </w:tc>
        <w:tc>
          <w:tcPr>
            <w:tcW w:w="3273" w:type="dxa"/>
            <w:gridSpan w:val="5"/>
            <w:vAlign w:val="center"/>
          </w:tcPr>
          <w:p w14:paraId="24C5E014" w14:textId="77777777" w:rsidR="00E0672D" w:rsidRPr="00001F84" w:rsidRDefault="00E0672D" w:rsidP="004E3BE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001F84">
              <w:rPr>
                <w:rFonts w:cs="Times New Roman"/>
              </w:rPr>
              <w:t>Skor Persepsi</w:t>
            </w:r>
          </w:p>
        </w:tc>
        <w:tc>
          <w:tcPr>
            <w:tcW w:w="950" w:type="dxa"/>
            <w:vAlign w:val="center"/>
          </w:tcPr>
          <w:p w14:paraId="56322C4A" w14:textId="77777777" w:rsidR="00E0672D" w:rsidRPr="00001F84" w:rsidRDefault="00E0672D" w:rsidP="00001F84">
            <w:pPr>
              <w:ind w:left="0" w:firstLine="0"/>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001F84">
              <w:rPr>
                <w:rFonts w:cs="Times New Roman"/>
              </w:rPr>
              <w:t>Total</w:t>
            </w:r>
          </w:p>
        </w:tc>
      </w:tr>
      <w:tr w:rsidR="00001F84" w:rsidRPr="00001F84" w14:paraId="716FF9C4"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vMerge/>
            <w:vAlign w:val="center"/>
          </w:tcPr>
          <w:p w14:paraId="108896C6" w14:textId="77777777" w:rsidR="00E0672D" w:rsidRPr="00001F84" w:rsidRDefault="00E0672D" w:rsidP="004E3BED">
            <w:pPr>
              <w:jc w:val="center"/>
              <w:rPr>
                <w:rFonts w:cs="Times New Roman"/>
                <w:b w:val="0"/>
                <w:bCs w:val="0"/>
              </w:rPr>
            </w:pPr>
          </w:p>
        </w:tc>
        <w:tc>
          <w:tcPr>
            <w:tcW w:w="606" w:type="dxa"/>
            <w:vAlign w:val="center"/>
          </w:tcPr>
          <w:p w14:paraId="630CDE74" w14:textId="3C06431D"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S</w:t>
            </w:r>
          </w:p>
        </w:tc>
        <w:tc>
          <w:tcPr>
            <w:tcW w:w="606" w:type="dxa"/>
            <w:vAlign w:val="center"/>
          </w:tcPr>
          <w:p w14:paraId="7FBEEEA4"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S</w:t>
            </w:r>
          </w:p>
        </w:tc>
        <w:tc>
          <w:tcPr>
            <w:tcW w:w="606" w:type="dxa"/>
            <w:vAlign w:val="center"/>
          </w:tcPr>
          <w:p w14:paraId="5AD5F600" w14:textId="574978D0"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S</w:t>
            </w:r>
          </w:p>
        </w:tc>
        <w:tc>
          <w:tcPr>
            <w:tcW w:w="606" w:type="dxa"/>
            <w:vAlign w:val="center"/>
          </w:tcPr>
          <w:p w14:paraId="5D4B318B" w14:textId="38ACB621"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S</w:t>
            </w:r>
          </w:p>
        </w:tc>
        <w:tc>
          <w:tcPr>
            <w:tcW w:w="849" w:type="dxa"/>
            <w:vAlign w:val="center"/>
          </w:tcPr>
          <w:p w14:paraId="28B88FA4" w14:textId="54D3DF69"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001F84">
              <w:rPr>
                <w:rFonts w:cs="Times New Roman"/>
                <w:b/>
                <w:bCs/>
              </w:rPr>
              <w:t>TS</w:t>
            </w:r>
          </w:p>
        </w:tc>
        <w:tc>
          <w:tcPr>
            <w:tcW w:w="950" w:type="dxa"/>
            <w:vAlign w:val="center"/>
          </w:tcPr>
          <w:p w14:paraId="4B6B60DE" w14:textId="77777777" w:rsidR="00E0672D" w:rsidRPr="00001F84" w:rsidRDefault="00E0672D" w:rsidP="00001F84">
            <w:pPr>
              <w:ind w:left="0" w:firstLine="0"/>
              <w:jc w:val="center"/>
              <w:cnfStyle w:val="000000100000" w:firstRow="0" w:lastRow="0" w:firstColumn="0" w:lastColumn="0" w:oddVBand="0" w:evenVBand="0" w:oddHBand="1" w:evenHBand="0" w:firstRowFirstColumn="0" w:firstRowLastColumn="0" w:lastRowFirstColumn="0" w:lastRowLastColumn="0"/>
              <w:rPr>
                <w:rFonts w:cs="Times New Roman"/>
                <w:b/>
                <w:bCs/>
              </w:rPr>
            </w:pPr>
          </w:p>
        </w:tc>
      </w:tr>
      <w:tr w:rsidR="00001F84" w:rsidRPr="00001F84" w14:paraId="2546BED6" w14:textId="77777777" w:rsidTr="009938B7">
        <w:tc>
          <w:tcPr>
            <w:cnfStyle w:val="001000000000" w:firstRow="0" w:lastRow="0" w:firstColumn="1" w:lastColumn="0" w:oddVBand="0" w:evenVBand="0" w:oddHBand="0" w:evenHBand="0" w:firstRowFirstColumn="0" w:firstRowLastColumn="0" w:lastRowFirstColumn="0" w:lastRowLastColumn="0"/>
            <w:tcW w:w="3545" w:type="dxa"/>
            <w:vAlign w:val="center"/>
          </w:tcPr>
          <w:p w14:paraId="6FCDBB3A" w14:textId="77777777" w:rsidR="00E0672D" w:rsidRPr="00001F84" w:rsidRDefault="00E0672D" w:rsidP="00001F84">
            <w:pPr>
              <w:ind w:left="0" w:firstLine="0"/>
              <w:rPr>
                <w:rFonts w:cs="Times New Roman"/>
                <w:b w:val="0"/>
                <w:bCs w:val="0"/>
              </w:rPr>
            </w:pPr>
            <w:r w:rsidRPr="00001F84">
              <w:rPr>
                <w:rFonts w:cs="Times New Roman"/>
                <w:b w:val="0"/>
                <w:bCs w:val="0"/>
              </w:rPr>
              <w:t>Semua agama menganjurkan kebersihan (1)</w:t>
            </w:r>
          </w:p>
        </w:tc>
        <w:tc>
          <w:tcPr>
            <w:tcW w:w="606" w:type="dxa"/>
            <w:vAlign w:val="center"/>
          </w:tcPr>
          <w:p w14:paraId="429496FB"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3.05</w:t>
            </w:r>
          </w:p>
        </w:tc>
        <w:tc>
          <w:tcPr>
            <w:tcW w:w="606" w:type="dxa"/>
            <w:vAlign w:val="center"/>
          </w:tcPr>
          <w:p w14:paraId="5970FF36"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1.56</w:t>
            </w:r>
          </w:p>
        </w:tc>
        <w:tc>
          <w:tcPr>
            <w:tcW w:w="606" w:type="dxa"/>
            <w:vAlign w:val="center"/>
          </w:tcPr>
          <w:p w14:paraId="5EFBA743"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w:t>
            </w:r>
          </w:p>
        </w:tc>
        <w:tc>
          <w:tcPr>
            <w:tcW w:w="606" w:type="dxa"/>
            <w:vAlign w:val="center"/>
          </w:tcPr>
          <w:p w14:paraId="774C9DB6"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w:t>
            </w:r>
          </w:p>
        </w:tc>
        <w:tc>
          <w:tcPr>
            <w:tcW w:w="849" w:type="dxa"/>
            <w:vAlign w:val="center"/>
          </w:tcPr>
          <w:p w14:paraId="514B504B"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w:t>
            </w:r>
          </w:p>
        </w:tc>
        <w:tc>
          <w:tcPr>
            <w:tcW w:w="950" w:type="dxa"/>
            <w:vAlign w:val="center"/>
          </w:tcPr>
          <w:p w14:paraId="51542CC7"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4.61</w:t>
            </w:r>
          </w:p>
        </w:tc>
      </w:tr>
      <w:tr w:rsidR="00001F84" w:rsidRPr="00001F84" w14:paraId="651D2E8C"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2613EAD7" w14:textId="77777777" w:rsidR="00E0672D" w:rsidRPr="00001F84" w:rsidRDefault="00E0672D" w:rsidP="00001F84">
            <w:pPr>
              <w:ind w:left="0" w:firstLine="0"/>
              <w:rPr>
                <w:rFonts w:cs="Times New Roman"/>
                <w:b w:val="0"/>
                <w:bCs w:val="0"/>
              </w:rPr>
            </w:pPr>
            <w:r w:rsidRPr="00001F84">
              <w:rPr>
                <w:rFonts w:cs="Times New Roman"/>
                <w:b w:val="0"/>
                <w:bCs w:val="0"/>
              </w:rPr>
              <w:t>Sampah adalah barang berharga/bernilai (2)</w:t>
            </w:r>
          </w:p>
        </w:tc>
        <w:tc>
          <w:tcPr>
            <w:tcW w:w="606" w:type="dxa"/>
            <w:vAlign w:val="center"/>
          </w:tcPr>
          <w:p w14:paraId="6524FE70"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0.50</w:t>
            </w:r>
          </w:p>
        </w:tc>
        <w:tc>
          <w:tcPr>
            <w:tcW w:w="606" w:type="dxa"/>
            <w:vAlign w:val="center"/>
          </w:tcPr>
          <w:p w14:paraId="574201B4"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0.60</w:t>
            </w:r>
          </w:p>
        </w:tc>
        <w:tc>
          <w:tcPr>
            <w:tcW w:w="606" w:type="dxa"/>
            <w:vAlign w:val="center"/>
          </w:tcPr>
          <w:p w14:paraId="1A482944"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0.69</w:t>
            </w:r>
          </w:p>
        </w:tc>
        <w:tc>
          <w:tcPr>
            <w:tcW w:w="606" w:type="dxa"/>
            <w:vAlign w:val="center"/>
          </w:tcPr>
          <w:p w14:paraId="5D63C522"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0.60</w:t>
            </w:r>
          </w:p>
        </w:tc>
        <w:tc>
          <w:tcPr>
            <w:tcW w:w="849" w:type="dxa"/>
            <w:vAlign w:val="center"/>
          </w:tcPr>
          <w:p w14:paraId="578E825E"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0.22</w:t>
            </w:r>
          </w:p>
        </w:tc>
        <w:tc>
          <w:tcPr>
            <w:tcW w:w="950" w:type="dxa"/>
            <w:vAlign w:val="center"/>
          </w:tcPr>
          <w:p w14:paraId="112C21E6"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2.61</w:t>
            </w:r>
          </w:p>
        </w:tc>
      </w:tr>
      <w:tr w:rsidR="00001F84" w:rsidRPr="00001F84" w14:paraId="37C833C2" w14:textId="77777777" w:rsidTr="009938B7">
        <w:tc>
          <w:tcPr>
            <w:cnfStyle w:val="001000000000" w:firstRow="0" w:lastRow="0" w:firstColumn="1" w:lastColumn="0" w:oddVBand="0" w:evenVBand="0" w:oddHBand="0" w:evenHBand="0" w:firstRowFirstColumn="0" w:firstRowLastColumn="0" w:lastRowFirstColumn="0" w:lastRowLastColumn="0"/>
            <w:tcW w:w="3545" w:type="dxa"/>
            <w:vAlign w:val="center"/>
          </w:tcPr>
          <w:p w14:paraId="2B8FA154" w14:textId="77777777" w:rsidR="00E0672D" w:rsidRPr="00001F84" w:rsidRDefault="00E0672D" w:rsidP="00001F84">
            <w:pPr>
              <w:ind w:left="0" w:firstLine="0"/>
              <w:rPr>
                <w:rFonts w:cs="Times New Roman"/>
                <w:b w:val="0"/>
                <w:bCs w:val="0"/>
              </w:rPr>
            </w:pPr>
            <w:r w:rsidRPr="00001F84">
              <w:rPr>
                <w:rFonts w:cs="Times New Roman"/>
                <w:b w:val="0"/>
                <w:bCs w:val="0"/>
              </w:rPr>
              <w:t>Sampah menjadi masalah sosial, ekonomi dan budaya (3)</w:t>
            </w:r>
          </w:p>
        </w:tc>
        <w:tc>
          <w:tcPr>
            <w:tcW w:w="606" w:type="dxa"/>
            <w:vAlign w:val="center"/>
          </w:tcPr>
          <w:p w14:paraId="402CDFA5"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0.75</w:t>
            </w:r>
          </w:p>
        </w:tc>
        <w:tc>
          <w:tcPr>
            <w:tcW w:w="606" w:type="dxa"/>
            <w:vAlign w:val="center"/>
          </w:tcPr>
          <w:p w14:paraId="148C8566"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0.40</w:t>
            </w:r>
          </w:p>
        </w:tc>
        <w:tc>
          <w:tcPr>
            <w:tcW w:w="606" w:type="dxa"/>
            <w:vAlign w:val="center"/>
          </w:tcPr>
          <w:p w14:paraId="6DE66654"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0.75</w:t>
            </w:r>
          </w:p>
        </w:tc>
        <w:tc>
          <w:tcPr>
            <w:tcW w:w="606" w:type="dxa"/>
            <w:vAlign w:val="center"/>
          </w:tcPr>
          <w:p w14:paraId="3AF0A146"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0.60</w:t>
            </w:r>
          </w:p>
        </w:tc>
        <w:tc>
          <w:tcPr>
            <w:tcW w:w="849" w:type="dxa"/>
            <w:vAlign w:val="center"/>
          </w:tcPr>
          <w:p w14:paraId="3C67BE8A"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0.20</w:t>
            </w:r>
          </w:p>
        </w:tc>
        <w:tc>
          <w:tcPr>
            <w:tcW w:w="950" w:type="dxa"/>
            <w:vAlign w:val="center"/>
          </w:tcPr>
          <w:p w14:paraId="7305923D"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2.70</w:t>
            </w:r>
          </w:p>
        </w:tc>
      </w:tr>
      <w:tr w:rsidR="00001F84" w:rsidRPr="00001F84" w14:paraId="7093B347"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16766E39" w14:textId="77777777" w:rsidR="00E0672D" w:rsidRPr="00001F84" w:rsidRDefault="00E0672D" w:rsidP="00001F84">
            <w:pPr>
              <w:ind w:left="0" w:firstLine="0"/>
              <w:rPr>
                <w:rFonts w:cs="Times New Roman"/>
                <w:b w:val="0"/>
                <w:bCs w:val="0"/>
              </w:rPr>
            </w:pPr>
            <w:r w:rsidRPr="00001F84">
              <w:rPr>
                <w:rFonts w:cs="Times New Roman"/>
                <w:b w:val="0"/>
                <w:bCs w:val="0"/>
              </w:rPr>
              <w:t>Sampah adalah urusan individu, keluarga, dan masyarakat (4)</w:t>
            </w:r>
          </w:p>
        </w:tc>
        <w:tc>
          <w:tcPr>
            <w:tcW w:w="606" w:type="dxa"/>
            <w:vAlign w:val="center"/>
          </w:tcPr>
          <w:p w14:paraId="586F44E4"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1.50</w:t>
            </w:r>
          </w:p>
        </w:tc>
        <w:tc>
          <w:tcPr>
            <w:tcW w:w="606" w:type="dxa"/>
            <w:vAlign w:val="center"/>
          </w:tcPr>
          <w:p w14:paraId="3FB2C3E8"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1.60</w:t>
            </w:r>
          </w:p>
        </w:tc>
        <w:tc>
          <w:tcPr>
            <w:tcW w:w="606" w:type="dxa"/>
            <w:vAlign w:val="center"/>
          </w:tcPr>
          <w:p w14:paraId="48127665"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0.90</w:t>
            </w:r>
          </w:p>
        </w:tc>
        <w:tc>
          <w:tcPr>
            <w:tcW w:w="606" w:type="dxa"/>
            <w:vAlign w:val="center"/>
          </w:tcPr>
          <w:p w14:paraId="0754D5BD"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0.00</w:t>
            </w:r>
          </w:p>
        </w:tc>
        <w:tc>
          <w:tcPr>
            <w:tcW w:w="849" w:type="dxa"/>
            <w:vAlign w:val="center"/>
          </w:tcPr>
          <w:p w14:paraId="5C986D5B"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0.00</w:t>
            </w:r>
          </w:p>
        </w:tc>
        <w:tc>
          <w:tcPr>
            <w:tcW w:w="950" w:type="dxa"/>
            <w:vAlign w:val="center"/>
          </w:tcPr>
          <w:p w14:paraId="5EA810A7"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4.00</w:t>
            </w:r>
          </w:p>
        </w:tc>
      </w:tr>
      <w:tr w:rsidR="00001F84" w:rsidRPr="00001F84" w14:paraId="45E79713" w14:textId="77777777" w:rsidTr="009938B7">
        <w:tc>
          <w:tcPr>
            <w:cnfStyle w:val="001000000000" w:firstRow="0" w:lastRow="0" w:firstColumn="1" w:lastColumn="0" w:oddVBand="0" w:evenVBand="0" w:oddHBand="0" w:evenHBand="0" w:firstRowFirstColumn="0" w:firstRowLastColumn="0" w:lastRowFirstColumn="0" w:lastRowLastColumn="0"/>
            <w:tcW w:w="3545" w:type="dxa"/>
            <w:vAlign w:val="center"/>
          </w:tcPr>
          <w:p w14:paraId="6D51981C" w14:textId="77777777" w:rsidR="00E0672D" w:rsidRPr="00001F84" w:rsidRDefault="00E0672D" w:rsidP="00001F84">
            <w:pPr>
              <w:ind w:left="0" w:firstLine="0"/>
              <w:rPr>
                <w:rFonts w:cs="Times New Roman"/>
                <w:b w:val="0"/>
                <w:bCs w:val="0"/>
              </w:rPr>
            </w:pPr>
            <w:r w:rsidRPr="00001F84">
              <w:rPr>
                <w:rFonts w:cs="Times New Roman"/>
                <w:b w:val="0"/>
                <w:bCs w:val="0"/>
              </w:rPr>
              <w:t>Sepuluh tahun terakhir, sejak 2011, sampah menjadi masalah serius (5)</w:t>
            </w:r>
          </w:p>
        </w:tc>
        <w:tc>
          <w:tcPr>
            <w:tcW w:w="606" w:type="dxa"/>
            <w:vAlign w:val="center"/>
          </w:tcPr>
          <w:p w14:paraId="6E456AF9"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1.00</w:t>
            </w:r>
          </w:p>
        </w:tc>
        <w:tc>
          <w:tcPr>
            <w:tcW w:w="606" w:type="dxa"/>
            <w:vAlign w:val="center"/>
          </w:tcPr>
          <w:p w14:paraId="7825B596"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0.80</w:t>
            </w:r>
          </w:p>
        </w:tc>
        <w:tc>
          <w:tcPr>
            <w:tcW w:w="606" w:type="dxa"/>
            <w:vAlign w:val="center"/>
          </w:tcPr>
          <w:p w14:paraId="59B42152"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1.50</w:t>
            </w:r>
          </w:p>
        </w:tc>
        <w:tc>
          <w:tcPr>
            <w:tcW w:w="606" w:type="dxa"/>
            <w:vAlign w:val="center"/>
          </w:tcPr>
          <w:p w14:paraId="6E6F1AEE"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0.20</w:t>
            </w:r>
          </w:p>
        </w:tc>
        <w:tc>
          <w:tcPr>
            <w:tcW w:w="849" w:type="dxa"/>
            <w:vAlign w:val="center"/>
          </w:tcPr>
          <w:p w14:paraId="37691BFD"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0.00</w:t>
            </w:r>
          </w:p>
        </w:tc>
        <w:tc>
          <w:tcPr>
            <w:tcW w:w="950" w:type="dxa"/>
            <w:vAlign w:val="center"/>
          </w:tcPr>
          <w:p w14:paraId="566398BE"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3.50</w:t>
            </w:r>
          </w:p>
        </w:tc>
      </w:tr>
      <w:tr w:rsidR="00001F84" w:rsidRPr="00001F84" w14:paraId="0D3FDEE5"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609B9CE0" w14:textId="77777777" w:rsidR="00E0672D" w:rsidRPr="00001F84" w:rsidRDefault="00E0672D" w:rsidP="00001F84">
            <w:pPr>
              <w:ind w:left="0" w:firstLine="0"/>
              <w:rPr>
                <w:rFonts w:cs="Times New Roman"/>
                <w:b w:val="0"/>
                <w:bCs w:val="0"/>
              </w:rPr>
            </w:pPr>
            <w:r w:rsidRPr="00001F84">
              <w:rPr>
                <w:rFonts w:cs="Times New Roman"/>
                <w:b w:val="0"/>
                <w:bCs w:val="0"/>
              </w:rPr>
              <w:t>Tahun 2017 Kementrian KLH mencatat 67 juta ton sampah: 60% sampah organik, dan 15% sampah plastik (6)</w:t>
            </w:r>
          </w:p>
        </w:tc>
        <w:tc>
          <w:tcPr>
            <w:tcW w:w="606" w:type="dxa"/>
            <w:vAlign w:val="center"/>
          </w:tcPr>
          <w:p w14:paraId="4CDE2992"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1.00</w:t>
            </w:r>
          </w:p>
        </w:tc>
        <w:tc>
          <w:tcPr>
            <w:tcW w:w="606" w:type="dxa"/>
            <w:vAlign w:val="center"/>
          </w:tcPr>
          <w:p w14:paraId="01EDAAF9"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0.80</w:t>
            </w:r>
          </w:p>
        </w:tc>
        <w:tc>
          <w:tcPr>
            <w:tcW w:w="606" w:type="dxa"/>
            <w:vAlign w:val="center"/>
          </w:tcPr>
          <w:p w14:paraId="15C4B946"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1.50</w:t>
            </w:r>
          </w:p>
        </w:tc>
        <w:tc>
          <w:tcPr>
            <w:tcW w:w="606" w:type="dxa"/>
            <w:vAlign w:val="center"/>
          </w:tcPr>
          <w:p w14:paraId="3704695B"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0.20</w:t>
            </w:r>
          </w:p>
        </w:tc>
        <w:tc>
          <w:tcPr>
            <w:tcW w:w="849" w:type="dxa"/>
            <w:vAlign w:val="center"/>
          </w:tcPr>
          <w:p w14:paraId="3F4A9802"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0.00</w:t>
            </w:r>
          </w:p>
        </w:tc>
        <w:tc>
          <w:tcPr>
            <w:tcW w:w="950" w:type="dxa"/>
            <w:vAlign w:val="center"/>
          </w:tcPr>
          <w:p w14:paraId="2BB6574D"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3.50</w:t>
            </w:r>
          </w:p>
        </w:tc>
      </w:tr>
      <w:tr w:rsidR="00001F84" w:rsidRPr="00001F84" w14:paraId="7E031F5C" w14:textId="77777777" w:rsidTr="009938B7">
        <w:tc>
          <w:tcPr>
            <w:cnfStyle w:val="001000000000" w:firstRow="0" w:lastRow="0" w:firstColumn="1" w:lastColumn="0" w:oddVBand="0" w:evenVBand="0" w:oddHBand="0" w:evenHBand="0" w:firstRowFirstColumn="0" w:firstRowLastColumn="0" w:lastRowFirstColumn="0" w:lastRowLastColumn="0"/>
            <w:tcW w:w="3545" w:type="dxa"/>
            <w:vAlign w:val="center"/>
          </w:tcPr>
          <w:p w14:paraId="6656BA53" w14:textId="77777777" w:rsidR="00E0672D" w:rsidRPr="00001F84" w:rsidRDefault="00E0672D" w:rsidP="00001F84">
            <w:pPr>
              <w:ind w:left="0" w:firstLine="0"/>
              <w:rPr>
                <w:rFonts w:cs="Times New Roman"/>
                <w:b w:val="0"/>
                <w:bCs w:val="0"/>
              </w:rPr>
            </w:pPr>
            <w:r w:rsidRPr="00001F84">
              <w:rPr>
                <w:rFonts w:cs="Times New Roman"/>
                <w:b w:val="0"/>
                <w:bCs w:val="0"/>
              </w:rPr>
              <w:t>Sampah berhubungan dengan penyakit dan tingkat Kesehatan masyarakat (7)</w:t>
            </w:r>
          </w:p>
        </w:tc>
        <w:tc>
          <w:tcPr>
            <w:tcW w:w="606" w:type="dxa"/>
            <w:vAlign w:val="center"/>
          </w:tcPr>
          <w:p w14:paraId="2836F8C4"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2.65</w:t>
            </w:r>
          </w:p>
        </w:tc>
        <w:tc>
          <w:tcPr>
            <w:tcW w:w="606" w:type="dxa"/>
            <w:vAlign w:val="center"/>
          </w:tcPr>
          <w:p w14:paraId="5FF23F48"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1.36</w:t>
            </w:r>
          </w:p>
        </w:tc>
        <w:tc>
          <w:tcPr>
            <w:tcW w:w="606" w:type="dxa"/>
            <w:vAlign w:val="center"/>
          </w:tcPr>
          <w:p w14:paraId="6B72A351"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0.69</w:t>
            </w:r>
          </w:p>
        </w:tc>
        <w:tc>
          <w:tcPr>
            <w:tcW w:w="606" w:type="dxa"/>
            <w:vAlign w:val="center"/>
          </w:tcPr>
          <w:p w14:paraId="27F0456D"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0.00</w:t>
            </w:r>
          </w:p>
        </w:tc>
        <w:tc>
          <w:tcPr>
            <w:tcW w:w="849" w:type="dxa"/>
            <w:vAlign w:val="center"/>
          </w:tcPr>
          <w:p w14:paraId="47A428C2"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0.00</w:t>
            </w:r>
          </w:p>
        </w:tc>
        <w:tc>
          <w:tcPr>
            <w:tcW w:w="950" w:type="dxa"/>
            <w:vAlign w:val="center"/>
          </w:tcPr>
          <w:p w14:paraId="7FBC8339"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4.70</w:t>
            </w:r>
          </w:p>
        </w:tc>
      </w:tr>
      <w:tr w:rsidR="00001F84" w:rsidRPr="00001F84" w14:paraId="5D7177C8"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58D6FDCA" w14:textId="77777777" w:rsidR="00E0672D" w:rsidRPr="00001F84" w:rsidRDefault="00E0672D" w:rsidP="00001F84">
            <w:pPr>
              <w:ind w:left="0" w:firstLine="0"/>
              <w:rPr>
                <w:rFonts w:cs="Times New Roman"/>
                <w:b w:val="0"/>
                <w:bCs w:val="0"/>
              </w:rPr>
            </w:pPr>
            <w:r w:rsidRPr="00001F84">
              <w:rPr>
                <w:rFonts w:cs="Times New Roman"/>
                <w:b w:val="0"/>
                <w:bCs w:val="0"/>
              </w:rPr>
              <w:t>Diperlukan kesadaran dan pengetahuan bersama bahwa sampah menjadi tanggung jawab bersama antara masyarakat dan pemerintah (8)</w:t>
            </w:r>
          </w:p>
        </w:tc>
        <w:tc>
          <w:tcPr>
            <w:tcW w:w="606" w:type="dxa"/>
            <w:vAlign w:val="center"/>
          </w:tcPr>
          <w:p w14:paraId="4AD3017A"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2.80</w:t>
            </w:r>
          </w:p>
        </w:tc>
        <w:tc>
          <w:tcPr>
            <w:tcW w:w="606" w:type="dxa"/>
            <w:vAlign w:val="center"/>
          </w:tcPr>
          <w:p w14:paraId="1BEC9005"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1.72</w:t>
            </w:r>
          </w:p>
        </w:tc>
        <w:tc>
          <w:tcPr>
            <w:tcW w:w="606" w:type="dxa"/>
            <w:vAlign w:val="center"/>
          </w:tcPr>
          <w:p w14:paraId="5D5DDC77"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0.03</w:t>
            </w:r>
          </w:p>
        </w:tc>
        <w:tc>
          <w:tcPr>
            <w:tcW w:w="606" w:type="dxa"/>
            <w:vAlign w:val="center"/>
          </w:tcPr>
          <w:p w14:paraId="74DFBA76"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0.00</w:t>
            </w:r>
          </w:p>
        </w:tc>
        <w:tc>
          <w:tcPr>
            <w:tcW w:w="849" w:type="dxa"/>
            <w:vAlign w:val="center"/>
          </w:tcPr>
          <w:p w14:paraId="46013D06"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0.00</w:t>
            </w:r>
          </w:p>
        </w:tc>
        <w:tc>
          <w:tcPr>
            <w:tcW w:w="950" w:type="dxa"/>
            <w:vAlign w:val="center"/>
          </w:tcPr>
          <w:p w14:paraId="388EE845"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4.55</w:t>
            </w:r>
          </w:p>
        </w:tc>
      </w:tr>
      <w:tr w:rsidR="00001F84" w:rsidRPr="00001F84" w14:paraId="11E88168" w14:textId="77777777" w:rsidTr="009938B7">
        <w:tc>
          <w:tcPr>
            <w:cnfStyle w:val="001000000000" w:firstRow="0" w:lastRow="0" w:firstColumn="1" w:lastColumn="0" w:oddVBand="0" w:evenVBand="0" w:oddHBand="0" w:evenHBand="0" w:firstRowFirstColumn="0" w:firstRowLastColumn="0" w:lastRowFirstColumn="0" w:lastRowLastColumn="0"/>
            <w:tcW w:w="3545" w:type="dxa"/>
            <w:vAlign w:val="center"/>
          </w:tcPr>
          <w:p w14:paraId="650D0FE4" w14:textId="77777777" w:rsidR="00E0672D" w:rsidRPr="00001F84" w:rsidRDefault="00E0672D" w:rsidP="00001F84">
            <w:pPr>
              <w:ind w:left="0" w:firstLine="0"/>
              <w:rPr>
                <w:rFonts w:cs="Times New Roman"/>
                <w:b w:val="0"/>
                <w:bCs w:val="0"/>
              </w:rPr>
            </w:pPr>
            <w:r w:rsidRPr="00001F84">
              <w:rPr>
                <w:rFonts w:cs="Times New Roman"/>
                <w:b w:val="0"/>
                <w:bCs w:val="0"/>
              </w:rPr>
              <w:t>Lingkungan bersih dari sampah menciptakan kondisi asri, harmonis, dan sehat (9)</w:t>
            </w:r>
          </w:p>
        </w:tc>
        <w:tc>
          <w:tcPr>
            <w:tcW w:w="606" w:type="dxa"/>
            <w:vAlign w:val="center"/>
          </w:tcPr>
          <w:p w14:paraId="41278EAC"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2.30</w:t>
            </w:r>
          </w:p>
        </w:tc>
        <w:tc>
          <w:tcPr>
            <w:tcW w:w="606" w:type="dxa"/>
            <w:vAlign w:val="center"/>
          </w:tcPr>
          <w:p w14:paraId="25992518"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1.92</w:t>
            </w:r>
          </w:p>
        </w:tc>
        <w:tc>
          <w:tcPr>
            <w:tcW w:w="606" w:type="dxa"/>
            <w:vAlign w:val="center"/>
          </w:tcPr>
          <w:p w14:paraId="7F30BD91"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0.18</w:t>
            </w:r>
          </w:p>
        </w:tc>
        <w:tc>
          <w:tcPr>
            <w:tcW w:w="606" w:type="dxa"/>
            <w:vAlign w:val="center"/>
          </w:tcPr>
          <w:p w14:paraId="0BE55831"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0.00</w:t>
            </w:r>
          </w:p>
        </w:tc>
        <w:tc>
          <w:tcPr>
            <w:tcW w:w="849" w:type="dxa"/>
            <w:vAlign w:val="center"/>
          </w:tcPr>
          <w:p w14:paraId="787514A8"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0.00</w:t>
            </w:r>
          </w:p>
        </w:tc>
        <w:tc>
          <w:tcPr>
            <w:tcW w:w="950" w:type="dxa"/>
            <w:vAlign w:val="center"/>
          </w:tcPr>
          <w:p w14:paraId="3EA66E76" w14:textId="77777777" w:rsidR="00E0672D" w:rsidRPr="00001F84" w:rsidRDefault="00E0672D" w:rsidP="00001F84">
            <w:pPr>
              <w:ind w:left="0" w:firstLine="0"/>
              <w:cnfStyle w:val="000000000000" w:firstRow="0" w:lastRow="0" w:firstColumn="0" w:lastColumn="0" w:oddVBand="0" w:evenVBand="0" w:oddHBand="0" w:evenHBand="0" w:firstRowFirstColumn="0" w:firstRowLastColumn="0" w:lastRowFirstColumn="0" w:lastRowLastColumn="0"/>
              <w:rPr>
                <w:rFonts w:cs="Times New Roman"/>
              </w:rPr>
            </w:pPr>
            <w:r w:rsidRPr="00001F84">
              <w:rPr>
                <w:rFonts w:cs="Times New Roman"/>
              </w:rPr>
              <w:t>4.40</w:t>
            </w:r>
          </w:p>
        </w:tc>
      </w:tr>
      <w:tr w:rsidR="00001F84" w:rsidRPr="00001F84" w14:paraId="412B5CD9" w14:textId="77777777" w:rsidTr="00993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1FB932C6" w14:textId="77777777" w:rsidR="00E0672D" w:rsidRPr="00001F84" w:rsidRDefault="00E0672D" w:rsidP="00001F84">
            <w:pPr>
              <w:ind w:left="0" w:firstLine="0"/>
              <w:rPr>
                <w:rFonts w:cs="Times New Roman"/>
                <w:b w:val="0"/>
                <w:bCs w:val="0"/>
              </w:rPr>
            </w:pPr>
            <w:r w:rsidRPr="00001F84">
              <w:rPr>
                <w:rFonts w:cs="Times New Roman"/>
                <w:b w:val="0"/>
                <w:bCs w:val="0"/>
              </w:rPr>
              <w:t>Jika masalah sampah tidak diseriusi, akan menjadi masalah bersama di kemudian hari (polusi udara, banjir, gangguan fungsi ekosistem lingkungan) (10)</w:t>
            </w:r>
          </w:p>
        </w:tc>
        <w:tc>
          <w:tcPr>
            <w:tcW w:w="606" w:type="dxa"/>
            <w:vAlign w:val="center"/>
          </w:tcPr>
          <w:p w14:paraId="1EDD8E0E"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1.50</w:t>
            </w:r>
          </w:p>
        </w:tc>
        <w:tc>
          <w:tcPr>
            <w:tcW w:w="606" w:type="dxa"/>
            <w:vAlign w:val="center"/>
          </w:tcPr>
          <w:p w14:paraId="349F6470"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1.88</w:t>
            </w:r>
          </w:p>
        </w:tc>
        <w:tc>
          <w:tcPr>
            <w:tcW w:w="606" w:type="dxa"/>
            <w:vAlign w:val="center"/>
          </w:tcPr>
          <w:p w14:paraId="61DCDCC0"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0.69</w:t>
            </w:r>
          </w:p>
        </w:tc>
        <w:tc>
          <w:tcPr>
            <w:tcW w:w="606" w:type="dxa"/>
            <w:vAlign w:val="center"/>
          </w:tcPr>
          <w:p w14:paraId="710D9733"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0.00</w:t>
            </w:r>
          </w:p>
        </w:tc>
        <w:tc>
          <w:tcPr>
            <w:tcW w:w="849" w:type="dxa"/>
            <w:vAlign w:val="center"/>
          </w:tcPr>
          <w:p w14:paraId="316E7D7C"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0.00</w:t>
            </w:r>
          </w:p>
        </w:tc>
        <w:tc>
          <w:tcPr>
            <w:tcW w:w="950" w:type="dxa"/>
            <w:vAlign w:val="center"/>
          </w:tcPr>
          <w:p w14:paraId="76D0BE8F" w14:textId="77777777" w:rsidR="00E0672D" w:rsidRPr="00001F84" w:rsidRDefault="00E0672D" w:rsidP="00001F84">
            <w:pPr>
              <w:ind w:left="0" w:firstLine="0"/>
              <w:cnfStyle w:val="000000100000" w:firstRow="0" w:lastRow="0" w:firstColumn="0" w:lastColumn="0" w:oddVBand="0" w:evenVBand="0" w:oddHBand="1" w:evenHBand="0" w:firstRowFirstColumn="0" w:firstRowLastColumn="0" w:lastRowFirstColumn="0" w:lastRowLastColumn="0"/>
              <w:rPr>
                <w:rFonts w:cs="Times New Roman"/>
              </w:rPr>
            </w:pPr>
            <w:r w:rsidRPr="00001F84">
              <w:rPr>
                <w:rFonts w:cs="Times New Roman"/>
              </w:rPr>
              <w:t>4.04</w:t>
            </w:r>
          </w:p>
        </w:tc>
      </w:tr>
    </w:tbl>
    <w:p w14:paraId="3795D610" w14:textId="77777777" w:rsidR="00E0672D" w:rsidRPr="00001F84" w:rsidRDefault="00E0672D" w:rsidP="00E0672D">
      <w:pPr>
        <w:rPr>
          <w:rFonts w:cs="Times New Roman"/>
        </w:rPr>
      </w:pPr>
    </w:p>
    <w:p w14:paraId="0A41E681" w14:textId="77777777" w:rsidR="00E0672D" w:rsidRPr="00001F84" w:rsidRDefault="00E0672D" w:rsidP="009938B7">
      <w:pPr>
        <w:ind w:left="0" w:firstLine="0"/>
        <w:rPr>
          <w:rFonts w:cs="Times New Roman"/>
        </w:rPr>
      </w:pPr>
      <w:r w:rsidRPr="00001F84">
        <w:rPr>
          <w:rFonts w:cs="Times New Roman"/>
        </w:rPr>
        <w:t xml:space="preserve">Keterangan singkatan: </w:t>
      </w:r>
    </w:p>
    <w:p w14:paraId="1D34894E" w14:textId="77777777" w:rsidR="00E0672D" w:rsidRPr="00001F84" w:rsidRDefault="00E0672D" w:rsidP="009938B7">
      <w:pPr>
        <w:ind w:left="0" w:firstLine="0"/>
        <w:rPr>
          <w:rFonts w:cs="Times New Roman"/>
        </w:rPr>
      </w:pPr>
      <w:r w:rsidRPr="00001F84">
        <w:rPr>
          <w:rFonts w:cs="Times New Roman"/>
        </w:rPr>
        <w:t>SS =Sangat Setuju</w:t>
      </w:r>
    </w:p>
    <w:p w14:paraId="03842FC9" w14:textId="77777777" w:rsidR="00E0672D" w:rsidRPr="00001F84" w:rsidRDefault="00E0672D" w:rsidP="009938B7">
      <w:pPr>
        <w:ind w:left="0" w:firstLine="0"/>
        <w:rPr>
          <w:rFonts w:cs="Times New Roman"/>
        </w:rPr>
      </w:pPr>
      <w:r w:rsidRPr="00001F84">
        <w:rPr>
          <w:rFonts w:cs="Times New Roman"/>
        </w:rPr>
        <w:t>S=Setuju</w:t>
      </w:r>
    </w:p>
    <w:p w14:paraId="0129D936" w14:textId="77777777" w:rsidR="00E0672D" w:rsidRPr="00001F84" w:rsidRDefault="00E0672D" w:rsidP="009938B7">
      <w:pPr>
        <w:ind w:left="0" w:firstLine="0"/>
        <w:rPr>
          <w:rFonts w:cs="Times New Roman"/>
        </w:rPr>
      </w:pPr>
      <w:r w:rsidRPr="00001F84">
        <w:rPr>
          <w:rFonts w:cs="Times New Roman"/>
        </w:rPr>
        <w:t>CS=Cukup Setuju</w:t>
      </w:r>
    </w:p>
    <w:p w14:paraId="3D7EA005" w14:textId="77777777" w:rsidR="00E0672D" w:rsidRPr="00001F84" w:rsidRDefault="00E0672D" w:rsidP="009938B7">
      <w:pPr>
        <w:ind w:left="0" w:firstLine="0"/>
        <w:rPr>
          <w:rFonts w:cs="Times New Roman"/>
        </w:rPr>
      </w:pPr>
      <w:r w:rsidRPr="00001F84">
        <w:rPr>
          <w:rFonts w:cs="Times New Roman"/>
        </w:rPr>
        <w:t>TS=Tidak Setuju</w:t>
      </w:r>
    </w:p>
    <w:p w14:paraId="0EA9764B" w14:textId="77777777" w:rsidR="009938B7" w:rsidRDefault="00E0672D" w:rsidP="009938B7">
      <w:pPr>
        <w:ind w:left="0" w:firstLine="0"/>
        <w:rPr>
          <w:rFonts w:cs="Times New Roman"/>
        </w:rPr>
      </w:pPr>
      <w:r w:rsidRPr="00001F84">
        <w:rPr>
          <w:rFonts w:cs="Times New Roman"/>
        </w:rPr>
        <w:t>STS=Sangat Tidak Setuju</w:t>
      </w:r>
    </w:p>
    <w:p w14:paraId="2933660E" w14:textId="77777777" w:rsidR="009938B7" w:rsidRDefault="009938B7" w:rsidP="009938B7">
      <w:pPr>
        <w:ind w:left="-284" w:firstLine="0"/>
        <w:rPr>
          <w:rFonts w:cs="Times New Roman"/>
        </w:rPr>
      </w:pPr>
    </w:p>
    <w:p w14:paraId="3FD7F701" w14:textId="162BCBBA" w:rsidR="002A6CAC" w:rsidRPr="009938B7" w:rsidRDefault="002A6CAC" w:rsidP="009938B7">
      <w:pPr>
        <w:ind w:left="0" w:firstLine="0"/>
        <w:rPr>
          <w:rFonts w:cs="Times New Roman"/>
        </w:rPr>
      </w:pPr>
      <w:r w:rsidRPr="00001F84">
        <w:rPr>
          <w:rFonts w:cs="Times New Roman"/>
          <w:b/>
          <w:i/>
          <w:lang w:val="en-US"/>
        </w:rPr>
        <w:t>Discussion</w:t>
      </w:r>
    </w:p>
    <w:p w14:paraId="2B5E5D79" w14:textId="77777777" w:rsidR="009938B7" w:rsidRDefault="009938B7" w:rsidP="00E0672D">
      <w:pPr>
        <w:ind w:firstLine="720"/>
        <w:rPr>
          <w:rFonts w:cs="Times New Roman"/>
          <w:i/>
        </w:rPr>
      </w:pPr>
    </w:p>
    <w:p w14:paraId="261F7F18" w14:textId="0B432E92" w:rsidR="00E0672D" w:rsidRPr="00001F84" w:rsidRDefault="00E0672D" w:rsidP="009938B7">
      <w:pPr>
        <w:ind w:left="0" w:firstLine="720"/>
        <w:rPr>
          <w:rFonts w:cs="Times New Roman"/>
        </w:rPr>
      </w:pPr>
      <w:r w:rsidRPr="00001F84">
        <w:rPr>
          <w:rFonts w:cs="Times New Roman"/>
        </w:rPr>
        <w:t xml:space="preserve">Mengacu pada Safir dan Whorf, relativisme kemampuan berpikir penutur bahasa tentang sesuatu, dalam konteks kajian ini tentang sampah yang direfleksikan melalui bahasa, dan determinisme memungkinkanya membuat persepsi tentang realitas sesuai </w:t>
      </w:r>
      <w:r w:rsidRPr="00001F84">
        <w:rPr>
          <w:rFonts w:cs="Times New Roman"/>
        </w:rPr>
        <w:lastRenderedPageBreak/>
        <w:t>dengan struktur bahasa yang dimilikinya.  Hanya saja, persepsi penutur bahasa atas realitas berdasarkan kemampuan kognitifnya menurut Stockemer tidak memiliki ukuran yang pasti berdasarkan skor yang sama. Jumlah skor tertinggi pada deskripsi normatif/semantis tentang sampah sebagai barang berharga (nomor 2), dengan skor 2.61, dan tertinggi pada deskripsi normatif/semantis tentang hubungan sampah dengan penyakit dan kesehjahteraan masyarakat (nomor 7), dengan skor 4.70. Artinya, skor masing-masing di antara 10 deskripsi normatif/semantis tidak terpaut jauh. Karena itu, kondisi persepsi tersebut dapat dijelaskan melalui keterkaitan antara masing-masing aspek yang dipersepsikan menurut kemampuan berpikir masing-masing penutur bahasa. Berdasarkan data skala dan skor persepsi untuk 10 deskripsi normatif/semantis pada tebel 2 dan tabel 3, persepsi milenial terhadap kelestarian lingkungan dalam proposisi bahasa indonesia berbasis pengelolaan sampah termasuk dalam kategori baik. Kondisi ini ditunjukkan melalui dominasi pilihan responden pada persepsi skala SS, S, dan CS. Kondisi ini menunjukkan bahwa responden memiliki kapasitas kognitif yang memadai tentang pemeliharaan lingkungan melalui pengelolaan sampah. Terdapat kesejajaran antara kapasitas kognitif sebagai bentuk kemampuan berpikir tentang hubungan antara keberadaan sampah sebagai realisasi relaaitivisme masing-masing. Pada saat bersamaan, realisasi relativisme tersebut mempengaruhi kondisi determinasi mereka dalam bentuk persepsi positif dalam penanganan sampah yang berpengaruh dalam pengelolaan lingkungan. Kapasitas kognitif itulah yang mempengaruhi persepsi mereka tentang berbagai hubungan kausalitas antara terciptanya lingkungan yang baik melalui pengelolaan sampah dengan baik.</w:t>
      </w:r>
    </w:p>
    <w:p w14:paraId="215B94F6" w14:textId="77777777" w:rsidR="00E0672D" w:rsidRPr="00001F84" w:rsidRDefault="00E0672D" w:rsidP="009938B7">
      <w:pPr>
        <w:ind w:left="0" w:firstLine="720"/>
        <w:rPr>
          <w:rFonts w:cs="Times New Roman"/>
        </w:rPr>
      </w:pPr>
      <w:r w:rsidRPr="00001F84">
        <w:rPr>
          <w:rFonts w:cs="Times New Roman"/>
        </w:rPr>
        <w:t xml:space="preserve"> Realitas pilihan agak berbeda ketika persepsi dihubungan dengan sampah sebagai barang berharga (nomor 2), yakni beberapa responden memilih TS, bahkan STS. Kondisi ini sangat dimungkinkan karena kapasitas kognitif responden dikonstruksi oleh realitas budaya yang belum mengenal inovasi dan kreasi barang-barang kebutuhan berasal dari sampah. Wajar saja, karena selama ini, mereka dihadapkan pada seluruh barang yang tidak terpakai akan dibuang sebagai sampah, dan belum mengenal ada produk berbahan baku sampah. Atau, persepsi responden dipengaruhi oleh kata sampah itu sendiri, yang selama ini merupakan benda yang tidak memiliki konotasi positif. Jumlah responden dengan persepsi demikian pun tidak terlalu besar/signifikan, sehingga tidak perlu dikhawatirkan. Dibutuhkan waktu untuk menumbuhkan persepsi positif bahwa sampah adalah barang berharga, dan menjadi masalah jika tidak segera dikelola dengan baik. Sebagai relasi kausal, agenda pertama yang dilakukan terhadap kelompok seperti persepsi responden ini adalah dengan mempengarui aspek kognitif sebagai proses pembentukan konteks relativisme. Harapannya, aspek kognitif akan berpengaruh terhadap persepsi positif terhadap sampah, yakni sampah sebagai barang berharga. Persepsi positif ini akan melahirkan konteks determinisme yang melahirkan berbagai agenda dan tindakan sejajar dengan aspek kognitifnya. </w:t>
      </w:r>
    </w:p>
    <w:p w14:paraId="516E61A8" w14:textId="77777777" w:rsidR="00E0672D" w:rsidRPr="00001F84" w:rsidRDefault="00E0672D" w:rsidP="009938B7">
      <w:pPr>
        <w:ind w:left="0" w:firstLine="720"/>
        <w:rPr>
          <w:rFonts w:cs="Times New Roman"/>
        </w:rPr>
      </w:pPr>
      <w:r w:rsidRPr="00001F84">
        <w:rPr>
          <w:rFonts w:cs="Times New Roman"/>
        </w:rPr>
        <w:tab/>
        <w:t xml:space="preserve">Walaupun secara keseluruhan persepsi responden termasuk baik terkait pelestarian lingkungan melalui pengelolaan lingkungan yang dibuktikan pada 10 proposisi, tetapi berbeda pada skala persepsi pada masing-masing deskripsi normatif/proposisi semantis. Pada deskripsi normatif nomor 1: semua agama menganjurkan kebersihan, skor persepsi SS 3.05 dan S 1.56. kondisi ini sangat wajar karena responden adalah masyarakat religius.  Menurut relativisme Safir-Whorf, konstruksi kognitif yang tampak melalui bahasa dipengaruhi oleh konteks budaya, termasuk agama, sehingga persepsi responden dipengaruhi keyakinan keberagamaan Islam yang menganjurkan kebersihan sebagai bagian dari keimanan dalam Islam. Dalam konteks ini, konstruksi kognitif tentang pemeliharaan lingkungan melalui pengelolaan sampah sudah terbentuk. Harapan selanjutnya, relativisme tersebut memiliki determinasi dalam bentuk persepsi dan tindakan nyata terkait pengelolaan sampah. Sebagaimana disebutkan pada bagian sebelumnya, kondisi agak lain </w:t>
      </w:r>
      <w:r w:rsidRPr="00001F84">
        <w:rPr>
          <w:rFonts w:cs="Times New Roman"/>
        </w:rPr>
        <w:lastRenderedPageBreak/>
        <w:t xml:space="preserve">pada deskripsi normatif nomor 2: sampah adalah barang berharga/bernilai, responden lebih dominan pada persepsi CS dengan skor 0.60. Menurut relativisme, konstruksi kognitif yang mempengaruhi determinasi dalam bentuk persepsi pemeliharaan lingkungan melalui pengelolaan sampah relatif rendah. Kondisi ini berkaitan dengan realitas budaya yang mempengaruhi pikiran responden, karena dalam lingkungan responden belum ditemukan kondisi bahwa sampah menjadi barang berharga melainkan sampah selalu dianggap sebagai barang tidak berharga. </w:t>
      </w:r>
    </w:p>
    <w:p w14:paraId="12A53E07" w14:textId="77777777" w:rsidR="00E0672D" w:rsidRPr="00001F84" w:rsidRDefault="00E0672D" w:rsidP="009938B7">
      <w:pPr>
        <w:ind w:left="0" w:firstLine="720"/>
        <w:rPr>
          <w:rFonts w:cs="Times New Roman"/>
        </w:rPr>
      </w:pPr>
      <w:r w:rsidRPr="00001F84">
        <w:rPr>
          <w:rFonts w:cs="Times New Roman"/>
        </w:rPr>
        <w:t xml:space="preserve">Pada deskripsi normatif nomor 3: sampah menjadi masalah sosial, ekonomi dan budaya, persepsi repsonden pada SS dengan skor 0.75, CS dengan skor 0.75. Kondisi ini menunjukkan konstruksi kognitif yang mempengaruhi persepsi tentang hubungan antara pelestarian lingkungan dan pemeliharaan sampah sudah baik. Pilihan persepsi TS dengan skor 0.60 dan persepsi STS dengan skor 0.20 dipengaruhi oleh dua hal, yakni konteks lingkungan tempat tinggal responden dan proyeksi masa depan tentang sampah. Responden yang tinggal di wilayah pedesaan, saat ini masih belum bermasalah dengan lingkungan dan sampah karena masih tersedia ruang yang cukup tempat membuang sampah. Kondisi lain yang terjadi di pedesaan, variasi bahan sampah tidak didominasi oleh bahan plastic, sehingga sampah yang muncul masih bisa didaur ulang. Kondisi terbalik di wilayah perkotaan dengan ruang tempat pembuangan sampah semakin terbatas dan didominasi sampah berbahan plastik. Responden yang tinggal di pedesaan, saat ini belum mengalami masalah serius terkait lingkungan dan sampah, sehingga mereka tidak memiliki pemikiran tentang hubungan antara lingkungan dan sampah di masa depan. Karena itu, wajar jika mereka belum berpikir tentang sampah menjadi masalah sosial, ekonomi, dan budaya. Belum ada konstruksi kognitif yang mempengaruhi persepsi bahwa sampah dapat dijadikan barang berharga, bisa dijual, dan tidak mengganggu lingkungan. Pada deskripsi normatif nomor 4: Sampah adalah urusan individu, keluarga, dan masyarakat, persepsi resonden menunjukkan SS: 1.50; S: 1.60; dan CS: 0.90. Kondisi ini menunjukkan, responden memiliki pemahaman bahwa urusan sampah dimulai dari diri sendiri, selanjutnya keluarg, hingga ke masyarakat. Dekripsi nomor 4 memiliki relevansi dengan deksripsi normatif nomor 8: Diperlukan kesadaran dan pengetahuan bersama bahwa sampah menjadi tanggung jawab bersama antara masyarakat dan pemerintah, dengan skor persepsi SS: 2.80; S: 1.72 dan CS: 0.03. Dekripsi nomor 4 terkait dengan tanggung jawab, sedangkan deskripsi nomor 8 terkait dengan kesadaran. Tentu saja, tanggung jawab dan kesadaran merupakan aspek determinasi atau persepsi responden tentang pelestarian lingkungan melalui pengelolaan sampah adalah tanggung jawab masing-masing secara berjenjang dalam masyarakat. Kehadiran rasa tanggung jawab dan kesadaran merupakan kondisi yang tidak disadari oleh setiap orang, termasuk repsonden. Ada kalanya kesadaran muncul lebih dahulu sebagai dasar munculnya tanggung jawab, dan sebaliknya. Intinya adalah, keduanya merupakan persepsi yang hadir sebagai bentuk lahiriah dari konstruksi kognitif tentang pentingnya pelestarian lingkungan melalui pengelolaan sampah sebagai hal yang harus disadari dan menjadi tanggung jawab bersama. </w:t>
      </w:r>
    </w:p>
    <w:p w14:paraId="68495DC5" w14:textId="77777777" w:rsidR="00E0672D" w:rsidRPr="00001F84" w:rsidRDefault="00E0672D" w:rsidP="009938B7">
      <w:pPr>
        <w:ind w:left="0" w:firstLine="720"/>
        <w:rPr>
          <w:rFonts w:cs="Times New Roman"/>
        </w:rPr>
      </w:pPr>
      <w:r w:rsidRPr="00001F84">
        <w:rPr>
          <w:rFonts w:cs="Times New Roman"/>
        </w:rPr>
        <w:t xml:space="preserve">Deskripsi normatif nomor 5: Sepuluh tahun terakhir, sejak 2011, sampah menjadi masalah serius, dan nomor 6: Tahun 2017 Kementrian KLH mencatat 67 juta ton sampah: 60% sampah organik, dan 15% sampah plastik, dipersepsi sama oleh responden, yakni SS: 1.00; S: 0.80; CS: 1.50; dan TS: 0.20. Tidak perlu dipertentangkan skor pada masing-masing persepsi, karena informasi menarik melalui kondisi ini adalah adanya persepsi CS, bahkan TS. Mengikuti pikiran relativisme dan determinisme Safir-Whorf, dua hal dapat dipahami melalui kondisi ini, yakni kompetensi metodologis dan konteks lokalitas responden. Secara kognitif, responden tidak memiliki referensi yang cukup tentang perkembangan data sampah secara nasional yang dirilis oleh kementrian terkait. Termasuk berita dan informasi metodologis tentang efek negatif kondisi sampah sebagaimana pada </w:t>
      </w:r>
      <w:r w:rsidRPr="00001F84">
        <w:rPr>
          <w:rFonts w:cs="Times New Roman"/>
        </w:rPr>
        <w:lastRenderedPageBreak/>
        <w:t xml:space="preserve">deksripsi normatif nomor 5 dan 6. Penyebabnya sangat variatif, seperti responden tidak memiliki kecenderungan pada pelestarian lingkungan dan sampah, atau sibuk dengan informasi lain, seperti COVID-19 atau berita-berita politik. Konteks lokalitas responden yang mayoritas tinggal di pedesaan yang tidak terlalu sibuk dengan persoalan pelestarian lingkungan dan sampah menyebabkan responden tidak memiliki konstruksi kognitif tentang sampah dan dampak negatifnya terhadap pelesatarian lingkungan. Termasuk juga, tidak memiliki pemikiran tentang sumber-sumber dan variasi sampah yang mucul di masyarakat. Responden hanya tahu bahwa, jika ada sampah ditumpuk di lahan kosong atau dibuang ke sungai, selokan, atau dibuang semaunya saja tanpa kepedulian tentang akibat yang ditimbulkannya. Dengan demikian, wajar kalau responden memiliki persepsi hingga pada tingkat CS, bahkan TS jika sampah dalam jumlah sangat banyak dan menjadi masalah serius bagi kehidupan. Walaupun mereka memiliki persepsi pada tingkat SS dan S, di sisi lain, responden juga memiliki persepsi CS dan TS. Ini menunjukkan adanya keragu-raguan responden tentang deskripsi tersebut, dan keragu-raguan dipengaruhi oleh kompetensinya secara kognitif tentang informasi yang diemban oleh deskripsi tersebut. </w:t>
      </w:r>
    </w:p>
    <w:p w14:paraId="3BA44CFA" w14:textId="77777777" w:rsidR="00E0672D" w:rsidRPr="00001F84" w:rsidRDefault="00E0672D" w:rsidP="009938B7">
      <w:pPr>
        <w:ind w:left="0" w:firstLine="720"/>
        <w:rPr>
          <w:rFonts w:cs="Times New Roman"/>
        </w:rPr>
      </w:pPr>
      <w:r w:rsidRPr="00001F84">
        <w:rPr>
          <w:rFonts w:cs="Times New Roman"/>
        </w:rPr>
        <w:tab/>
        <w:t xml:space="preserve">Deskripsi nomor 7: Sampah berhubungan dengan penyakit dan tingkat Kesehatan masyarakat, nomor 9: Lingkungan bersih dari sampah menciptakan kondisi asri, harmonis, dan sehat, dan nomor 10: Jika masalah sampah tidak diseriusi, akan menjadi masalah bersama di kemudian hari (polusi udara, banjir, gangguan fungsi ekosistem lingkungan), masing-masing memiliki keterkaitan satu sama lain. Nomor 7 berkaitan dengan Kesehatan fisik manusia, dan semua dipersepsikan pada tingkat setuju SS: 2.65; S: 1.36; dan CS: 0.69. Nomor 9, dengan SS: 2.30; S: 1.92; dan CS: 0.18. nomor 10, SS: 1.50; S: 1.88; dan CS: 0.69. Menurut relativisme dan determinisme Safir-Whorf, kondisi ini menunjukkan, responden memiliki konstruksi kognitif bahwa pelestarian lingkungan memiliki hubungan erat dengan dengan pengelolaan sampah. Karenanya, pada saat bersamaan, responden memiliki persepsi baik dengan menyatakan persetujuan bahwa jika sampah dikelola dengan baik maka lingkungan akan tampak sehat, harmomi, dan asri. Pada saat bersamaan juga, secara fisik, masyarakat akan terhindar dari berbagai jenis penyakit yang ditularkan melalui sampah. Kondisi lain yang dipesankan melalui persepsi responden adalah adanya kesadaran bahwa, jika sampah tidak dikelola dengan baik, dalam jangka panjang akan merusak lingkungan melalui polusi udara, dan dapat menyebabkan banjir. Hal demikian berarti bahwa sampah harus dikelola dengan baik, jika tidak ingin timbul masalah terhadap kesehatan dan kerusakan lingkungan. </w:t>
      </w:r>
    </w:p>
    <w:p w14:paraId="7D4BD162" w14:textId="5C9F34B5" w:rsidR="002A6CAC" w:rsidRPr="00001F84" w:rsidRDefault="002A6CAC" w:rsidP="00742DA3">
      <w:pPr>
        <w:ind w:left="0" w:firstLine="0"/>
        <w:rPr>
          <w:rFonts w:cs="Times New Roman"/>
          <w:i/>
        </w:rPr>
      </w:pPr>
    </w:p>
    <w:p w14:paraId="60AC87AC" w14:textId="77777777" w:rsidR="002A6CAC" w:rsidRPr="00001F84" w:rsidRDefault="002A6CAC" w:rsidP="002A6CAC">
      <w:pPr>
        <w:ind w:left="0" w:firstLine="0"/>
        <w:rPr>
          <w:rFonts w:cs="Times New Roman"/>
          <w:b/>
          <w:lang w:val="en-US"/>
        </w:rPr>
      </w:pPr>
      <w:r w:rsidRPr="00001F84">
        <w:rPr>
          <w:rFonts w:cs="Times New Roman"/>
          <w:b/>
          <w:lang w:val="en-US"/>
        </w:rPr>
        <w:t>CONCLUSION</w:t>
      </w:r>
    </w:p>
    <w:p w14:paraId="771115BB" w14:textId="77777777" w:rsidR="00742DA3" w:rsidRDefault="00742DA3" w:rsidP="00E0672D">
      <w:pPr>
        <w:ind w:firstLine="720"/>
        <w:rPr>
          <w:rFonts w:cs="Times New Roman"/>
          <w:i/>
        </w:rPr>
      </w:pPr>
    </w:p>
    <w:p w14:paraId="74F9937A" w14:textId="62B5E4A2" w:rsidR="00E0672D" w:rsidRPr="00001F84" w:rsidRDefault="00E0672D" w:rsidP="009938B7">
      <w:pPr>
        <w:ind w:left="0" w:firstLine="720"/>
        <w:rPr>
          <w:rFonts w:cs="Times New Roman"/>
        </w:rPr>
      </w:pPr>
      <w:r w:rsidRPr="00001F84">
        <w:rPr>
          <w:rFonts w:cs="Times New Roman"/>
        </w:rPr>
        <w:t xml:space="preserve">Terhadap 10 deskripsi normatif, disimpulkan bahwa  persepsi responden sebagai kelompok milenial terhadap pelestarian lingkungan berdasarkan proposisi pengelolaan sampah terbelah menjadi dua kelompok. Kelompok pertama, 7 dari 10 proposisi, yakni deskripsi  nomor 1, 3, 4, 7, 8, 9, dan 10 dipersepsikan baik, dengan skala Sangat Setuju (SS), Setuju (S), dan Cukup Setuju (S).  kelompok kedua,  3 deskripsi yang dipersepsikan tidak baik, yakni deskripsi nomor 2, 5, dan 6 dengan skala Tidak Setuju (TS), dan Sangat Tidak Setuju (SS). Perbedaan persepsi tersebut dipengaruhi oleh kompetensi kognitif kelompok milenial berdasarkan konteks sosial, budaya, termasuk agama yang diyakininya. Selain konteks sosial, budaya, dan agama,  persepsi milenial terhadap pelestarian lingkungan juga dipengaruhi oleh kompetensi kognitif milenial berdasarkan perspektif metodologis. Pemahamannya terhadap data dan informasi dari berbagai sumber tentang pelestarian lingkungan melalui sampah membentuk persepsi mereka tentang hubungan keduanya, sekaligus dampak positif dan negatif dalam hubungan keduanya. Fenomena perepsi milenial ini  menunjukkan bahwa pandangan relativisme sebagai konstruksi </w:t>
      </w:r>
      <w:r w:rsidRPr="00001F84">
        <w:rPr>
          <w:rFonts w:cs="Times New Roman"/>
        </w:rPr>
        <w:lastRenderedPageBreak/>
        <w:t xml:space="preserve">kognitif penutur bahasa, yang melahirkan determinisme, yakni persepsi terhadap bahasa yang dilahirkannya, sebagaimana Safir-Whorf menjadi benar adanya. Kajian ini menunjukkan konteks tersebut. </w:t>
      </w:r>
    </w:p>
    <w:p w14:paraId="493FBBEA" w14:textId="65173700" w:rsidR="002A6CAC" w:rsidRPr="009938B7" w:rsidRDefault="002A6CAC" w:rsidP="009938B7">
      <w:pPr>
        <w:ind w:left="0" w:firstLine="0"/>
        <w:rPr>
          <w:rFonts w:cs="Times New Roman"/>
          <w:i/>
        </w:rPr>
      </w:pPr>
    </w:p>
    <w:p w14:paraId="2D18DCFF" w14:textId="77777777" w:rsidR="002A6CAC" w:rsidRPr="00001F84" w:rsidRDefault="002A6CAC" w:rsidP="002A6CAC">
      <w:pPr>
        <w:ind w:left="0" w:firstLine="0"/>
        <w:rPr>
          <w:rFonts w:cs="Times New Roman"/>
          <w:b/>
        </w:rPr>
      </w:pPr>
    </w:p>
    <w:p w14:paraId="2DE2E613" w14:textId="77777777" w:rsidR="002A6CAC" w:rsidRPr="00001F84" w:rsidRDefault="002A6CAC" w:rsidP="002A6CAC">
      <w:pPr>
        <w:ind w:left="0" w:firstLine="0"/>
        <w:rPr>
          <w:rFonts w:cs="Times New Roman"/>
          <w:b/>
          <w:lang w:val="en-US"/>
        </w:rPr>
      </w:pPr>
      <w:r w:rsidRPr="00001F84">
        <w:rPr>
          <w:rFonts w:cs="Times New Roman"/>
          <w:b/>
          <w:lang w:val="en-US"/>
        </w:rPr>
        <w:t>REFERENCES</w:t>
      </w:r>
    </w:p>
    <w:p w14:paraId="62F72CDF" w14:textId="77777777" w:rsidR="009938B7" w:rsidRDefault="009938B7" w:rsidP="00E0672D">
      <w:pPr>
        <w:widowControl w:val="0"/>
        <w:autoSpaceDE w:val="0"/>
        <w:autoSpaceDN w:val="0"/>
        <w:adjustRightInd w:val="0"/>
        <w:ind w:left="480" w:hanging="480"/>
        <w:rPr>
          <w:rFonts w:cs="Times New Roman"/>
          <w:i/>
        </w:rPr>
      </w:pPr>
    </w:p>
    <w:p w14:paraId="1F96690E" w14:textId="46A5D55D"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b/>
          <w:bCs/>
        </w:rPr>
        <w:fldChar w:fldCharType="begin" w:fldLock="1"/>
      </w:r>
      <w:r w:rsidRPr="00001F84">
        <w:rPr>
          <w:rFonts w:cs="Times New Roman"/>
          <w:b/>
          <w:bCs/>
        </w:rPr>
        <w:instrText xml:space="preserve">ADDIN Mendeley Bibliography CSL_BIBLIOGRAPHY </w:instrText>
      </w:r>
      <w:r w:rsidRPr="00001F84">
        <w:rPr>
          <w:rFonts w:cs="Times New Roman"/>
          <w:b/>
          <w:bCs/>
        </w:rPr>
        <w:fldChar w:fldCharType="separate"/>
      </w:r>
      <w:r w:rsidRPr="00001F84">
        <w:rPr>
          <w:rFonts w:cs="Times New Roman"/>
          <w:noProof/>
        </w:rPr>
        <w:t xml:space="preserve">Angelianawati, L. (2018). Philosophical Linguistic Relativity: Sebuah Kajian Tentang Pokok Pikiran Filsafat Relativisme Bahasa. </w:t>
      </w:r>
      <w:r w:rsidRPr="00001F84">
        <w:rPr>
          <w:rFonts w:cs="Times New Roman"/>
          <w:i/>
          <w:iCs/>
          <w:noProof/>
        </w:rPr>
        <w:t>Jurnal Dinamika Pendidikan</w:t>
      </w:r>
      <w:r w:rsidRPr="00001F84">
        <w:rPr>
          <w:rFonts w:cs="Times New Roman"/>
          <w:noProof/>
        </w:rPr>
        <w:t xml:space="preserve">, </w:t>
      </w:r>
      <w:r w:rsidRPr="00001F84">
        <w:rPr>
          <w:rFonts w:cs="Times New Roman"/>
          <w:i/>
          <w:iCs/>
          <w:noProof/>
        </w:rPr>
        <w:t>10</w:t>
      </w:r>
      <w:r w:rsidRPr="00001F84">
        <w:rPr>
          <w:rFonts w:cs="Times New Roman"/>
          <w:noProof/>
        </w:rPr>
        <w:t>(3), 332. https://doi.org/10.33541/jdp.v10i3.635</w:t>
      </w:r>
    </w:p>
    <w:p w14:paraId="6848FFA5"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Bailey, B. M., Heath, M. A., Jackson, A. P., Coyne, S. M., &amp; Williams, M. S. (2018). The influence of group values and behavior on adolescent male perceptions of and use of homophobic language. </w:t>
      </w:r>
      <w:r w:rsidRPr="00001F84">
        <w:rPr>
          <w:rFonts w:cs="Times New Roman"/>
          <w:i/>
          <w:iCs/>
          <w:noProof/>
        </w:rPr>
        <w:t>Journal of Adolescence</w:t>
      </w:r>
      <w:r w:rsidRPr="00001F84">
        <w:rPr>
          <w:rFonts w:cs="Times New Roman"/>
          <w:noProof/>
        </w:rPr>
        <w:t xml:space="preserve">, </w:t>
      </w:r>
      <w:r w:rsidRPr="00001F84">
        <w:rPr>
          <w:rFonts w:cs="Times New Roman"/>
          <w:i/>
          <w:iCs/>
          <w:noProof/>
        </w:rPr>
        <w:t>69</w:t>
      </w:r>
      <w:r w:rsidRPr="00001F84">
        <w:rPr>
          <w:rFonts w:cs="Times New Roman"/>
          <w:noProof/>
        </w:rPr>
        <w:t>(August), 1–10. https://doi.org/10.1016/j.adolescence.2018.08.005</w:t>
      </w:r>
    </w:p>
    <w:p w14:paraId="53845AAC"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Buckley, O., &amp; Nurse, J. R. C. (2019). The language of biometrics: Analysing public perceptions. </w:t>
      </w:r>
      <w:r w:rsidRPr="00001F84">
        <w:rPr>
          <w:rFonts w:cs="Times New Roman"/>
          <w:i/>
          <w:iCs/>
          <w:noProof/>
        </w:rPr>
        <w:t>Journal of Information Security and Applications</w:t>
      </w:r>
      <w:r w:rsidRPr="00001F84">
        <w:rPr>
          <w:rFonts w:cs="Times New Roman"/>
          <w:noProof/>
        </w:rPr>
        <w:t xml:space="preserve">, </w:t>
      </w:r>
      <w:r w:rsidRPr="00001F84">
        <w:rPr>
          <w:rFonts w:cs="Times New Roman"/>
          <w:i/>
          <w:iCs/>
          <w:noProof/>
        </w:rPr>
        <w:t>47</w:t>
      </w:r>
      <w:r w:rsidRPr="00001F84">
        <w:rPr>
          <w:rFonts w:cs="Times New Roman"/>
          <w:noProof/>
        </w:rPr>
        <w:t>, 112–119. https://doi.org/10.1016/j.jisa.2019.05.001</w:t>
      </w:r>
    </w:p>
    <w:p w14:paraId="17974A62"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Charruters, P. (2015). The centered mind: What the science of working memory shows us about the nature of human thought. </w:t>
      </w:r>
      <w:r w:rsidRPr="00001F84">
        <w:rPr>
          <w:rFonts w:cs="Times New Roman"/>
          <w:i/>
          <w:iCs/>
          <w:noProof/>
        </w:rPr>
        <w:t>Philosophical Psychology</w:t>
      </w:r>
      <w:r w:rsidRPr="00001F84">
        <w:rPr>
          <w:rFonts w:cs="Times New Roman"/>
          <w:noProof/>
        </w:rPr>
        <w:t>, Vol. 30, pp. 685–688. https://doi.org/10.1080/09515089.2017.1299858</w:t>
      </w:r>
    </w:p>
    <w:p w14:paraId="220D5989"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David S. Wible and C. Harry. (1985). Perceived Language Profeciency and Person Perception. </w:t>
      </w:r>
      <w:r w:rsidRPr="00001F84">
        <w:rPr>
          <w:rFonts w:cs="Times New Roman"/>
          <w:i/>
          <w:iCs/>
          <w:noProof/>
        </w:rPr>
        <w:t>Journal of Cross-Cultural Philosophy</w:t>
      </w:r>
      <w:r w:rsidRPr="00001F84">
        <w:rPr>
          <w:rFonts w:cs="Times New Roman"/>
          <w:noProof/>
        </w:rPr>
        <w:t xml:space="preserve">, </w:t>
      </w:r>
      <w:r w:rsidRPr="00001F84">
        <w:rPr>
          <w:rFonts w:cs="Times New Roman"/>
          <w:i/>
          <w:iCs/>
          <w:noProof/>
        </w:rPr>
        <w:t>16</w:t>
      </w:r>
      <w:r w:rsidRPr="00001F84">
        <w:rPr>
          <w:rFonts w:cs="Times New Roman"/>
          <w:noProof/>
        </w:rPr>
        <w:t>(2).</w:t>
      </w:r>
    </w:p>
    <w:p w14:paraId="75309EA1"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Gaffas, Z. M. (2019). Students’ perceptions of the impact of EGP and ESP courses on their English language development: Voices from Saudi Arabia. </w:t>
      </w:r>
      <w:r w:rsidRPr="00001F84">
        <w:rPr>
          <w:rFonts w:cs="Times New Roman"/>
          <w:i/>
          <w:iCs/>
          <w:noProof/>
        </w:rPr>
        <w:t>Journal of English for Academic Purposes</w:t>
      </w:r>
      <w:r w:rsidRPr="00001F84">
        <w:rPr>
          <w:rFonts w:cs="Times New Roman"/>
          <w:noProof/>
        </w:rPr>
        <w:t xml:space="preserve">, </w:t>
      </w:r>
      <w:r w:rsidRPr="00001F84">
        <w:rPr>
          <w:rFonts w:cs="Times New Roman"/>
          <w:i/>
          <w:iCs/>
          <w:noProof/>
        </w:rPr>
        <w:t>42</w:t>
      </w:r>
      <w:r w:rsidRPr="00001F84">
        <w:rPr>
          <w:rFonts w:cs="Times New Roman"/>
          <w:noProof/>
        </w:rPr>
        <w:t>, 100797. https://doi.org/10.1016/j.jeap.2019.100797</w:t>
      </w:r>
    </w:p>
    <w:p w14:paraId="654279BA"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Goldrick, M. V. F. M. M. (2014). </w:t>
      </w:r>
      <w:r w:rsidRPr="00001F84">
        <w:rPr>
          <w:rFonts w:cs="Times New Roman"/>
          <w:i/>
          <w:iCs/>
          <w:noProof/>
        </w:rPr>
        <w:t>The Oxford Handbook of Language Production - Matthew Goldrick; Victor Ferreira; Michele Miozzo; - Oxford University Press</w:t>
      </w:r>
      <w:r w:rsidRPr="00001F84">
        <w:rPr>
          <w:rFonts w:cs="Times New Roman"/>
          <w:noProof/>
        </w:rPr>
        <w:t>. Retrieved from http://global.oup.com/academic/product/the-oxford-handbook-of-language-production-9780199735471?cc=us&amp;lang=en&amp;</w:t>
      </w:r>
    </w:p>
    <w:p w14:paraId="4244BC7F"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Hendayana, R. (2014). </w:t>
      </w:r>
      <w:r w:rsidRPr="00001F84">
        <w:rPr>
          <w:rFonts w:cs="Times New Roman"/>
          <w:i/>
          <w:iCs/>
          <w:noProof/>
        </w:rPr>
        <w:t>Persepsi dan adopsi teknologi: Teori dan Praktek Pengukuran</w:t>
      </w:r>
      <w:r w:rsidRPr="00001F84">
        <w:rPr>
          <w:rFonts w:cs="Times New Roman"/>
          <w:noProof/>
        </w:rPr>
        <w:t>. Bogor.</w:t>
      </w:r>
    </w:p>
    <w:p w14:paraId="62002B80"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Joseph, J. E. (2003). Rethinking linguistic creativity. </w:t>
      </w:r>
      <w:r w:rsidRPr="00001F84">
        <w:rPr>
          <w:rFonts w:cs="Times New Roman"/>
          <w:i/>
          <w:iCs/>
          <w:noProof/>
        </w:rPr>
        <w:t>Rethinking Linguistics</w:t>
      </w:r>
      <w:r w:rsidRPr="00001F84">
        <w:rPr>
          <w:rFonts w:cs="Times New Roman"/>
          <w:noProof/>
        </w:rPr>
        <w:t>, 121–150. https://doi.org/10.4324/9780203220535-9</w:t>
      </w:r>
    </w:p>
    <w:p w14:paraId="3B91C5C3"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Kadarisman, E. (2007). Hipotesis Safir-Whorf dan Ungkap Keagamaan. </w:t>
      </w:r>
      <w:r w:rsidRPr="00001F84">
        <w:rPr>
          <w:rFonts w:cs="Times New Roman"/>
          <w:i/>
          <w:iCs/>
          <w:noProof/>
        </w:rPr>
        <w:t>MLI</w:t>
      </w:r>
      <w:r w:rsidRPr="00001F84">
        <w:rPr>
          <w:rFonts w:cs="Times New Roman"/>
          <w:noProof/>
        </w:rPr>
        <w:t>.</w:t>
      </w:r>
    </w:p>
    <w:p w14:paraId="625C91C5"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Klemfuss, N., Prinzmetal, W., &amp; Ivry, R. B. (2012). How does language change perception: A cautionary note. </w:t>
      </w:r>
      <w:r w:rsidRPr="00001F84">
        <w:rPr>
          <w:rFonts w:cs="Times New Roman"/>
          <w:i/>
          <w:iCs/>
          <w:noProof/>
        </w:rPr>
        <w:t>Frontiers in Psychology</w:t>
      </w:r>
      <w:r w:rsidRPr="00001F84">
        <w:rPr>
          <w:rFonts w:cs="Times New Roman"/>
          <w:noProof/>
        </w:rPr>
        <w:t xml:space="preserve">, </w:t>
      </w:r>
      <w:r w:rsidRPr="00001F84">
        <w:rPr>
          <w:rFonts w:cs="Times New Roman"/>
          <w:i/>
          <w:iCs/>
          <w:noProof/>
        </w:rPr>
        <w:t>3</w:t>
      </w:r>
      <w:r w:rsidRPr="00001F84">
        <w:rPr>
          <w:rFonts w:cs="Times New Roman"/>
          <w:noProof/>
        </w:rPr>
        <w:t>(MAR), 1–6. https://doi.org/10.3389/fpsyg.2012.00078</w:t>
      </w:r>
    </w:p>
    <w:p w14:paraId="14511ACB"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Landau, B. (2016). </w:t>
      </w:r>
      <w:r w:rsidRPr="00001F84">
        <w:rPr>
          <w:rFonts w:cs="Times New Roman"/>
          <w:i/>
          <w:iCs/>
          <w:noProof/>
        </w:rPr>
        <w:t>Understanding Cognitive Development: Approaches from Mind and Brain</w:t>
      </w:r>
      <w:r w:rsidRPr="00001F84">
        <w:rPr>
          <w:rFonts w:cs="Times New Roman"/>
          <w:noProof/>
        </w:rPr>
        <w:t>. Retrieved from https://books.google.com/books?hl=de&amp;lr=&amp;id=QHwYDQAAQBAJ&amp;oi=fnd&amp;pg=PT8&amp;dq=%22cognitive%2Bart%22&amp;ots=99K6Z5a-Ju&amp;sig=4C3F8qJ8aSwsx2LCHy4-bvVOeHY</w:t>
      </w:r>
    </w:p>
    <w:p w14:paraId="067DAAA0"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Muryati, S. (2013). </w:t>
      </w:r>
      <w:r w:rsidRPr="00001F84">
        <w:rPr>
          <w:rFonts w:cs="Times New Roman"/>
          <w:i/>
          <w:iCs/>
          <w:noProof/>
        </w:rPr>
        <w:t>Tinjauan Hipotesis Safir-Whorf dalam Serah Terima Bahasa Jepang</w:t>
      </w:r>
      <w:r w:rsidRPr="00001F84">
        <w:rPr>
          <w:rFonts w:cs="Times New Roman"/>
          <w:noProof/>
        </w:rPr>
        <w:t>.</w:t>
      </w:r>
    </w:p>
    <w:p w14:paraId="1E077D8A"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Park, S. H., Yoo, H., Kim, K. B., &amp; Lee, T. J. (2018). Perceptions of university students of ‘tourism-focused English’ as a second language: The case of Korean universities. </w:t>
      </w:r>
      <w:r w:rsidRPr="00001F84">
        <w:rPr>
          <w:rFonts w:cs="Times New Roman"/>
          <w:i/>
          <w:iCs/>
          <w:noProof/>
        </w:rPr>
        <w:t>Journal of Hospitality, Leisure, Sport and Tourism Education</w:t>
      </w:r>
      <w:r w:rsidRPr="00001F84">
        <w:rPr>
          <w:rFonts w:cs="Times New Roman"/>
          <w:noProof/>
        </w:rPr>
        <w:t xml:space="preserve">, </w:t>
      </w:r>
      <w:r w:rsidRPr="00001F84">
        <w:rPr>
          <w:rFonts w:cs="Times New Roman"/>
          <w:i/>
          <w:iCs/>
          <w:noProof/>
        </w:rPr>
        <w:t>23</w:t>
      </w:r>
      <w:r w:rsidRPr="00001F84">
        <w:rPr>
          <w:rFonts w:cs="Times New Roman"/>
          <w:noProof/>
        </w:rPr>
        <w:t>(July 2017), 59–69. https://doi.org/10.1016/j.jhlste.2018.05.001</w:t>
      </w:r>
    </w:p>
    <w:p w14:paraId="2067E091"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Pérez-Llantada, C. (2018). Bringing into focus multilingual realities: Faculty perceptions of academic languages on campus. </w:t>
      </w:r>
      <w:r w:rsidRPr="00001F84">
        <w:rPr>
          <w:rFonts w:cs="Times New Roman"/>
          <w:i/>
          <w:iCs/>
          <w:noProof/>
        </w:rPr>
        <w:t>Lingua</w:t>
      </w:r>
      <w:r w:rsidRPr="00001F84">
        <w:rPr>
          <w:rFonts w:cs="Times New Roman"/>
          <w:noProof/>
        </w:rPr>
        <w:t xml:space="preserve">, </w:t>
      </w:r>
      <w:r w:rsidRPr="00001F84">
        <w:rPr>
          <w:rFonts w:cs="Times New Roman"/>
          <w:i/>
          <w:iCs/>
          <w:noProof/>
        </w:rPr>
        <w:t>212</w:t>
      </w:r>
      <w:r w:rsidRPr="00001F84">
        <w:rPr>
          <w:rFonts w:cs="Times New Roman"/>
          <w:noProof/>
        </w:rPr>
        <w:t>, 30–43. https://doi.org/10.1016/j.lingua.2018.05.006</w:t>
      </w:r>
    </w:p>
    <w:p w14:paraId="4C1ECE73"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lastRenderedPageBreak/>
        <w:t xml:space="preserve">Puhlman, J., &amp; Johnson, R. K. (2019). Survey of male college students’ perceptions and knowledge of speech-language pathology. </w:t>
      </w:r>
      <w:r w:rsidRPr="00001F84">
        <w:rPr>
          <w:rFonts w:cs="Times New Roman"/>
          <w:i/>
          <w:iCs/>
          <w:noProof/>
        </w:rPr>
        <w:t>Journal of Communication Disorders</w:t>
      </w:r>
      <w:r w:rsidRPr="00001F84">
        <w:rPr>
          <w:rFonts w:cs="Times New Roman"/>
          <w:noProof/>
        </w:rPr>
        <w:t xml:space="preserve">, </w:t>
      </w:r>
      <w:r w:rsidRPr="00001F84">
        <w:rPr>
          <w:rFonts w:cs="Times New Roman"/>
          <w:i/>
          <w:iCs/>
          <w:noProof/>
        </w:rPr>
        <w:t>82</w:t>
      </w:r>
      <w:r w:rsidRPr="00001F84">
        <w:rPr>
          <w:rFonts w:cs="Times New Roman"/>
          <w:noProof/>
        </w:rPr>
        <w:t>(October 2018), 105936. https://doi.org/10.1016/j.jcomdis.2019.105936</w:t>
      </w:r>
    </w:p>
    <w:p w14:paraId="54E2FF52"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Rinantanti, Y., Rahman, M. A., Atmowardoyo, H., &amp; Bin-Tahir, S. Z. (2017). Perception of Senior High School EFL Teachers in Papua, Indonesia towards Their Own Competence. </w:t>
      </w:r>
      <w:r w:rsidRPr="00001F84">
        <w:rPr>
          <w:rFonts w:cs="Times New Roman"/>
          <w:i/>
          <w:iCs/>
          <w:noProof/>
        </w:rPr>
        <w:t>Journal of Language Teaching and Research</w:t>
      </w:r>
      <w:r w:rsidRPr="00001F84">
        <w:rPr>
          <w:rFonts w:cs="Times New Roman"/>
          <w:noProof/>
        </w:rPr>
        <w:t xml:space="preserve">, </w:t>
      </w:r>
      <w:r w:rsidRPr="00001F84">
        <w:rPr>
          <w:rFonts w:cs="Times New Roman"/>
          <w:i/>
          <w:iCs/>
          <w:noProof/>
        </w:rPr>
        <w:t>8</w:t>
      </w:r>
      <w:r w:rsidRPr="00001F84">
        <w:rPr>
          <w:rFonts w:cs="Times New Roman"/>
          <w:noProof/>
        </w:rPr>
        <w:t>(6), 1181. https://doi.org/10.17507/jltr.0806.20</w:t>
      </w:r>
    </w:p>
    <w:p w14:paraId="2369DC0F"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Schlenker, P. (2004). Context of thought and context of utterance: A note on free indirect discourse and the historical present. </w:t>
      </w:r>
      <w:r w:rsidRPr="00001F84">
        <w:rPr>
          <w:rFonts w:cs="Times New Roman"/>
          <w:i/>
          <w:iCs/>
          <w:noProof/>
        </w:rPr>
        <w:t>Mind and Language</w:t>
      </w:r>
      <w:r w:rsidRPr="00001F84">
        <w:rPr>
          <w:rFonts w:cs="Times New Roman"/>
          <w:noProof/>
        </w:rPr>
        <w:t xml:space="preserve">, </w:t>
      </w:r>
      <w:r w:rsidRPr="00001F84">
        <w:rPr>
          <w:rFonts w:cs="Times New Roman"/>
          <w:i/>
          <w:iCs/>
          <w:noProof/>
        </w:rPr>
        <w:t>19</w:t>
      </w:r>
      <w:r w:rsidRPr="00001F84">
        <w:rPr>
          <w:rFonts w:cs="Times New Roman"/>
          <w:noProof/>
        </w:rPr>
        <w:t>(3), 279–304. https://doi.org/10.1111/j.1468-0017.2004.00259.x</w:t>
      </w:r>
    </w:p>
    <w:p w14:paraId="2F2BFB2D"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Stockemer, D. (2019). </w:t>
      </w:r>
      <w:r w:rsidRPr="00001F84">
        <w:rPr>
          <w:rFonts w:cs="Times New Roman"/>
          <w:i/>
          <w:iCs/>
          <w:noProof/>
        </w:rPr>
        <w:t>Quantitative Methods for the Social Sciences A Practical Introduction with Examples in SPSS and Stata</w:t>
      </w:r>
      <w:r w:rsidRPr="00001F84">
        <w:rPr>
          <w:rFonts w:cs="Times New Roman"/>
          <w:noProof/>
        </w:rPr>
        <w:t>. Gewerbestrasse 11, 6330 Cham, Switzerland: Springer International Publishing.</w:t>
      </w:r>
    </w:p>
    <w:p w14:paraId="454FAB03"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Stollznow, K. (2018). “How many languages do you speak?” Perceptions and misconceptions about linguistics and linguists. </w:t>
      </w:r>
      <w:r w:rsidRPr="00001F84">
        <w:rPr>
          <w:rFonts w:cs="Times New Roman"/>
          <w:i/>
          <w:iCs/>
          <w:noProof/>
        </w:rPr>
        <w:t>Lingua</w:t>
      </w:r>
      <w:r w:rsidRPr="00001F84">
        <w:rPr>
          <w:rFonts w:cs="Times New Roman"/>
          <w:noProof/>
        </w:rPr>
        <w:t xml:space="preserve">, </w:t>
      </w:r>
      <w:r w:rsidRPr="00001F84">
        <w:rPr>
          <w:rFonts w:cs="Times New Roman"/>
          <w:i/>
          <w:iCs/>
          <w:noProof/>
        </w:rPr>
        <w:t>205</w:t>
      </w:r>
      <w:r w:rsidRPr="00001F84">
        <w:rPr>
          <w:rFonts w:cs="Times New Roman"/>
          <w:noProof/>
        </w:rPr>
        <w:t>, 15–28. https://doi.org/10.1016/j.lingua.2017.12.012</w:t>
      </w:r>
    </w:p>
    <w:p w14:paraId="1C607EBD"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Tseng, M. Y., &amp; Zhang, G. (2019). Perceptions of and attitudes toward elastic language in online health communication in Chinese. </w:t>
      </w:r>
      <w:r w:rsidRPr="00001F84">
        <w:rPr>
          <w:rFonts w:cs="Times New Roman"/>
          <w:i/>
          <w:iCs/>
          <w:noProof/>
        </w:rPr>
        <w:t>Lingua</w:t>
      </w:r>
      <w:r w:rsidRPr="00001F84">
        <w:rPr>
          <w:rFonts w:cs="Times New Roman"/>
          <w:noProof/>
        </w:rPr>
        <w:t>, 102750. https://doi.org/10.1016/j.lingua.2019.102750</w:t>
      </w:r>
    </w:p>
    <w:p w14:paraId="3CEADAAC"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van Gevelt, T., Abok, H., Bennett, M. M., Fam, S. D., George, F., Kulathuramaiyer, N., … Zaman, T. (2019). Indigenous perceptions of climate anomalies in Malaysian Borneo. </w:t>
      </w:r>
      <w:r w:rsidRPr="00001F84">
        <w:rPr>
          <w:rFonts w:cs="Times New Roman"/>
          <w:i/>
          <w:iCs/>
          <w:noProof/>
        </w:rPr>
        <w:t>Global Environmental Change</w:t>
      </w:r>
      <w:r w:rsidRPr="00001F84">
        <w:rPr>
          <w:rFonts w:cs="Times New Roman"/>
          <w:noProof/>
        </w:rPr>
        <w:t xml:space="preserve">, </w:t>
      </w:r>
      <w:r w:rsidRPr="00001F84">
        <w:rPr>
          <w:rFonts w:cs="Times New Roman"/>
          <w:i/>
          <w:iCs/>
          <w:noProof/>
        </w:rPr>
        <w:t>58</w:t>
      </w:r>
      <w:r w:rsidRPr="00001F84">
        <w:rPr>
          <w:rFonts w:cs="Times New Roman"/>
          <w:noProof/>
        </w:rPr>
        <w:t>(April), 101974. https://doi.org/10.1016/j.gloenvcha.2019.101974</w:t>
      </w:r>
    </w:p>
    <w:p w14:paraId="18D3D34D" w14:textId="77777777" w:rsidR="00E0672D" w:rsidRPr="00001F84" w:rsidRDefault="00E0672D" w:rsidP="00E0672D">
      <w:pPr>
        <w:widowControl w:val="0"/>
        <w:autoSpaceDE w:val="0"/>
        <w:autoSpaceDN w:val="0"/>
        <w:adjustRightInd w:val="0"/>
        <w:ind w:left="480" w:hanging="480"/>
        <w:rPr>
          <w:rFonts w:cs="Times New Roman"/>
          <w:noProof/>
        </w:rPr>
      </w:pPr>
      <w:r w:rsidRPr="00001F84">
        <w:rPr>
          <w:rFonts w:cs="Times New Roman"/>
          <w:noProof/>
        </w:rPr>
        <w:t xml:space="preserve">Vulchanova, M., Vulchanov, V., Fritz, I., &amp; Milburn, E. A. (2019). Language and perception: Introduction to the Special Issue “Speakers and Listeners in the Visual World.” </w:t>
      </w:r>
      <w:r w:rsidRPr="00001F84">
        <w:rPr>
          <w:rFonts w:cs="Times New Roman"/>
          <w:i/>
          <w:iCs/>
          <w:noProof/>
        </w:rPr>
        <w:t>Journal of Cultural Cognitive Science</w:t>
      </w:r>
      <w:r w:rsidRPr="00001F84">
        <w:rPr>
          <w:rFonts w:cs="Times New Roman"/>
          <w:noProof/>
        </w:rPr>
        <w:t xml:space="preserve">, </w:t>
      </w:r>
      <w:r w:rsidRPr="00001F84">
        <w:rPr>
          <w:rFonts w:cs="Times New Roman"/>
          <w:i/>
          <w:iCs/>
          <w:noProof/>
        </w:rPr>
        <w:t>3</w:t>
      </w:r>
      <w:r w:rsidRPr="00001F84">
        <w:rPr>
          <w:rFonts w:cs="Times New Roman"/>
          <w:noProof/>
        </w:rPr>
        <w:t>(2), 103–112. https://doi.org/10.1007/s41809-019-00047-z</w:t>
      </w:r>
    </w:p>
    <w:p w14:paraId="01C818CE" w14:textId="1C8605A1" w:rsidR="002A6CAC" w:rsidRPr="00001F84" w:rsidRDefault="00E0672D" w:rsidP="00E0672D">
      <w:pPr>
        <w:ind w:left="0" w:firstLine="0"/>
        <w:rPr>
          <w:rFonts w:cs="Times New Roman"/>
          <w:lang w:val="en-US"/>
        </w:rPr>
      </w:pPr>
      <w:r w:rsidRPr="00001F84">
        <w:rPr>
          <w:rFonts w:cs="Times New Roman"/>
          <w:b/>
          <w:bCs/>
        </w:rPr>
        <w:fldChar w:fldCharType="end"/>
      </w:r>
    </w:p>
    <w:sectPr w:rsidR="002A6CAC" w:rsidRPr="00001F84" w:rsidSect="002A6CAC">
      <w:headerReference w:type="default" r:id="rId8"/>
      <w:footerReference w:type="default" r:id="rId9"/>
      <w:headerReference w:type="first" r:id="rId10"/>
      <w:pgSz w:w="11906" w:h="16838" w:code="9"/>
      <w:pgMar w:top="2268" w:right="1701" w:bottom="1701" w:left="226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F7463" w14:textId="77777777" w:rsidR="00D9168B" w:rsidRDefault="00D9168B">
      <w:r>
        <w:separator/>
      </w:r>
    </w:p>
  </w:endnote>
  <w:endnote w:type="continuationSeparator" w:id="0">
    <w:p w14:paraId="08028B4C" w14:textId="77777777" w:rsidR="00D9168B" w:rsidRDefault="00D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B5257" w14:textId="77777777" w:rsidR="00433560" w:rsidRDefault="00606AE4"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r>
          <w:rPr>
            <w:noProof/>
            <w:lang w:val="en-US"/>
          </w:rPr>
          <w:t xml:space="preserve"> -</w:t>
        </w:r>
      </w:sdtContent>
    </w:sdt>
  </w:p>
  <w:p w14:paraId="7CF2A559" w14:textId="77777777" w:rsidR="00C54FC0" w:rsidRPr="00B06E1E" w:rsidRDefault="00D9168B" w:rsidP="00B06E1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F1BC4" w14:textId="77777777" w:rsidR="00D9168B" w:rsidRDefault="00D9168B">
      <w:r>
        <w:separator/>
      </w:r>
    </w:p>
  </w:footnote>
  <w:footnote w:type="continuationSeparator" w:id="0">
    <w:p w14:paraId="29194BD8" w14:textId="77777777" w:rsidR="00D9168B" w:rsidRDefault="00D9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2929F" w14:textId="77777777" w:rsidR="003F7CBE" w:rsidRPr="00C3556C" w:rsidRDefault="00606AE4" w:rsidP="00433560">
    <w:pPr>
      <w:pStyle w:val="Header"/>
      <w:ind w:left="0" w:firstLine="0"/>
      <w:jc w:val="center"/>
      <w:rPr>
        <w:i/>
        <w:sz w:val="20"/>
      </w:rPr>
    </w:pPr>
    <w:r w:rsidRPr="0080596A">
      <w:rPr>
        <w:i/>
        <w:sz w:val="20"/>
        <w:lang w:val="en-US"/>
      </w:rPr>
      <w:t xml:space="preserve">Author. / </w:t>
    </w:r>
    <w:proofErr w:type="spellStart"/>
    <w:r w:rsidRPr="00C3556C">
      <w:rPr>
        <w:i/>
        <w:sz w:val="20"/>
        <w:lang w:val="en-US"/>
      </w:rPr>
      <w:t>Reseacrh</w:t>
    </w:r>
    <w:proofErr w:type="spellEnd"/>
    <w:r w:rsidRPr="00C3556C">
      <w:rPr>
        <w:i/>
        <w:sz w:val="20"/>
        <w:lang w:val="en-US"/>
      </w:rPr>
      <w:t xml:space="preserve"> and D</w:t>
    </w:r>
    <w:r>
      <w:rPr>
        <w:i/>
        <w:sz w:val="20"/>
        <w:lang w:val="en-US"/>
      </w:rPr>
      <w:t>evelopment Journal of Education</w:t>
    </w:r>
    <w:r>
      <w:rPr>
        <w:i/>
        <w:sz w:val="20"/>
      </w:rPr>
      <w:t>,</w:t>
    </w:r>
    <w:r>
      <w:rPr>
        <w:i/>
        <w:sz w:val="20"/>
        <w:lang w:val="en-US"/>
      </w:rPr>
      <w:t xml:space="preserve"> </w:t>
    </w:r>
    <w:r>
      <w:rPr>
        <w:i/>
        <w:sz w:val="20"/>
      </w:rPr>
      <w:t>6</w:t>
    </w:r>
    <w:r>
      <w:rPr>
        <w:i/>
        <w:sz w:val="20"/>
        <w:lang w:val="en-US"/>
      </w:rPr>
      <w:t>(</w:t>
    </w:r>
    <w:r>
      <w:rPr>
        <w:i/>
        <w:sz w:val="20"/>
      </w:rPr>
      <w:t>2</w:t>
    </w:r>
    <w:r>
      <w:rPr>
        <w:i/>
        <w:sz w:val="20"/>
        <w:lang w:val="en-US"/>
      </w:rPr>
      <w:t xml:space="preserve">), </w:t>
    </w:r>
    <w:r>
      <w:rPr>
        <w:i/>
        <w:sz w:val="20"/>
      </w:rPr>
      <w:t>xx</w:t>
    </w:r>
    <w:r>
      <w:rPr>
        <w:i/>
        <w:sz w:val="20"/>
        <w:lang w:val="en-US"/>
      </w:rPr>
      <w:t>-</w:t>
    </w:r>
    <w:r>
      <w:rPr>
        <w:i/>
        <w:sz w:val="2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3957" w14:textId="77777777" w:rsidR="003B4800" w:rsidRDefault="00606AE4" w:rsidP="003B4800">
    <w:pPr>
      <w:pStyle w:val="Header"/>
      <w:tabs>
        <w:tab w:val="right" w:pos="7938"/>
      </w:tabs>
      <w:ind w:left="0" w:right="-1" w:firstLine="0"/>
    </w:pPr>
    <w:r>
      <w:t>Research and Development Journal Of Education</w:t>
    </w:r>
  </w:p>
  <w:p w14:paraId="473598AB" w14:textId="77777777" w:rsidR="003B4800" w:rsidRDefault="00606AE4" w:rsidP="003B4800">
    <w:pPr>
      <w:pStyle w:val="Header"/>
      <w:tabs>
        <w:tab w:val="clear" w:pos="4513"/>
        <w:tab w:val="center" w:pos="5954"/>
        <w:tab w:val="right" w:pos="7938"/>
      </w:tabs>
      <w:ind w:left="0" w:right="-1" w:firstLine="0"/>
    </w:pPr>
    <w:r>
      <w:t>Vol. 6  No. 2 April 2020, Pp : xx – xxx</w:t>
    </w:r>
    <w:r>
      <w:tab/>
    </w:r>
    <w:r>
      <w:tab/>
      <w:t xml:space="preserve">p–ISSN 2406-9744 </w:t>
    </w:r>
  </w:p>
  <w:p w14:paraId="6E2EBEB2" w14:textId="77777777" w:rsidR="003B4800" w:rsidRDefault="00606AE4" w:rsidP="003B4800">
    <w:pPr>
      <w:pStyle w:val="Header"/>
      <w:tabs>
        <w:tab w:val="right" w:pos="7938"/>
      </w:tabs>
      <w:ind w:left="0" w:right="-1" w:firstLine="0"/>
    </w:pPr>
    <w:r w:rsidRPr="00433560">
      <w:rPr>
        <w:sz w:val="18"/>
        <w:szCs w:val="18"/>
      </w:rPr>
      <w:t xml:space="preserve">DOI: </w:t>
    </w:r>
    <w:r w:rsidRPr="00A253A1">
      <w:t>http:</w:t>
    </w:r>
    <w:r>
      <w:t>//dx.doi.org/10.30998/rdje.vxix.xxxx</w:t>
    </w:r>
    <w:r>
      <w:tab/>
    </w:r>
    <w:r>
      <w:tab/>
      <w:t xml:space="preserve">e–ISSN 2657-1056                 </w:t>
    </w:r>
  </w:p>
  <w:p w14:paraId="1256A60F" w14:textId="77777777" w:rsidR="00A919ED" w:rsidRPr="00785F59" w:rsidRDefault="00606AE4" w:rsidP="00A919ED">
    <w:pPr>
      <w:pStyle w:val="Header"/>
      <w:tabs>
        <w:tab w:val="clear" w:pos="9026"/>
        <w:tab w:val="right" w:pos="7938"/>
      </w:tabs>
      <w:ind w:left="0" w:right="-1" w:firstLine="0"/>
      <w:jc w:val="left"/>
      <w:rPr>
        <w:sz w:val="18"/>
        <w:szCs w:val="18"/>
        <w:lang w:val="en-US"/>
      </w:rPr>
    </w:pPr>
    <w:r w:rsidRPr="00433560">
      <w:rPr>
        <w:noProof/>
        <w:sz w:val="18"/>
        <w:szCs w:val="18"/>
        <w:lang w:eastAsia="id-ID"/>
      </w:rPr>
      <w:drawing>
        <wp:anchor distT="0" distB="0" distL="114300" distR="114300" simplePos="0" relativeHeight="251660288" behindDoc="1" locked="0" layoutInCell="1" allowOverlap="1" wp14:anchorId="2863CBD8" wp14:editId="178FE388">
          <wp:simplePos x="0" y="0"/>
          <wp:positionH relativeFrom="column">
            <wp:posOffset>4208145</wp:posOffset>
          </wp:positionH>
          <wp:positionV relativeFrom="paragraph">
            <wp:posOffset>13970</wp:posOffset>
          </wp:positionV>
          <wp:extent cx="838200" cy="29527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560">
      <w:rPr>
        <w:sz w:val="18"/>
        <w:szCs w:val="18"/>
        <w:lang w:val="en-US"/>
      </w:rPr>
      <w:t xml:space="preserve">Available </w:t>
    </w:r>
    <w:r w:rsidRPr="0011649D">
      <w:rPr>
        <w:sz w:val="18"/>
        <w:szCs w:val="18"/>
      </w:rPr>
      <w:t>online</w:t>
    </w:r>
    <w:r w:rsidRPr="00433560">
      <w:rPr>
        <w:sz w:val="18"/>
        <w:szCs w:val="18"/>
        <w:lang w:val="en-US"/>
      </w:rPr>
      <w:t xml:space="preserve"> at </w:t>
    </w:r>
    <w:hyperlink r:id="rId2" w:history="1">
      <w:r w:rsidRPr="00005793">
        <w:rPr>
          <w:rStyle w:val="Hyperlink"/>
          <w:color w:val="auto"/>
          <w:sz w:val="18"/>
        </w:rPr>
        <w:t>https://journal.lppmunindra.ac.id/index.php/RDJE</w:t>
      </w:r>
    </w:hyperlink>
  </w:p>
  <w:p w14:paraId="212D3670" w14:textId="77777777" w:rsidR="00A253A1" w:rsidRPr="003B4800" w:rsidRDefault="00606AE4" w:rsidP="00A919ED">
    <w:pPr>
      <w:pStyle w:val="Header"/>
      <w:tabs>
        <w:tab w:val="clear" w:pos="9026"/>
        <w:tab w:val="right" w:pos="7938"/>
      </w:tabs>
      <w:ind w:left="0" w:right="-1" w:firstLine="0"/>
    </w:pPr>
    <w:r>
      <w:t xml:space="preserve">   </w:t>
    </w:r>
  </w:p>
  <w:p w14:paraId="5E8E27E0" w14:textId="647EEDD7" w:rsidR="00433560" w:rsidRPr="00A919ED" w:rsidRDefault="002A6CAC" w:rsidP="00A919ED">
    <w:pPr>
      <w:pStyle w:val="Header"/>
      <w:ind w:left="0" w:right="-994" w:firstLine="0"/>
      <w:rPr>
        <w:sz w:val="18"/>
        <w:szCs w:val="18"/>
      </w:rPr>
    </w:pPr>
    <w:r>
      <w:rPr>
        <w:noProof/>
        <w:sz w:val="18"/>
        <w:szCs w:val="18"/>
      </w:rPr>
      <mc:AlternateContent>
        <mc:Choice Requires="wps">
          <w:drawing>
            <wp:anchor distT="0" distB="0" distL="114300" distR="114300" simplePos="0" relativeHeight="251659264" behindDoc="0" locked="0" layoutInCell="1" allowOverlap="1" wp14:anchorId="1882F44B" wp14:editId="6CDFE5C7">
              <wp:simplePos x="0" y="0"/>
              <wp:positionH relativeFrom="column">
                <wp:posOffset>-68580</wp:posOffset>
              </wp:positionH>
              <wp:positionV relativeFrom="paragraph">
                <wp:posOffset>130175</wp:posOffset>
              </wp:positionV>
              <wp:extent cx="5143500" cy="635"/>
              <wp:effectExtent l="17145" t="15875" r="11430" b="12065"/>
              <wp:wrapNone/>
              <wp:docPr id="2" name="Connector: Elbow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C051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5.4pt;margin-top:10.25pt;width:4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"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AC"/>
    <w:rsid w:val="00001F84"/>
    <w:rsid w:val="00195700"/>
    <w:rsid w:val="002A6CAC"/>
    <w:rsid w:val="002C545D"/>
    <w:rsid w:val="003C7163"/>
    <w:rsid w:val="00606AE4"/>
    <w:rsid w:val="00742DA3"/>
    <w:rsid w:val="009938B7"/>
    <w:rsid w:val="00D9168B"/>
    <w:rsid w:val="00E0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AAD93"/>
  <w15:chartTrackingRefBased/>
  <w15:docId w15:val="{FB87A34D-C095-429B-BC14-2969E4AA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AC"/>
    <w:pPr>
      <w:spacing w:after="0" w:line="240" w:lineRule="auto"/>
      <w:ind w:left="709" w:firstLine="567"/>
      <w:jc w:val="both"/>
    </w:pPr>
    <w:rPr>
      <w:rFonts w:ascii="Times New Roman" w:hAnsi="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CAC"/>
    <w:pPr>
      <w:tabs>
        <w:tab w:val="center" w:pos="4513"/>
        <w:tab w:val="right" w:pos="9026"/>
      </w:tabs>
    </w:pPr>
  </w:style>
  <w:style w:type="character" w:customStyle="1" w:styleId="HeaderChar">
    <w:name w:val="Header Char"/>
    <w:basedOn w:val="DefaultParagraphFont"/>
    <w:link w:val="Header"/>
    <w:uiPriority w:val="99"/>
    <w:rsid w:val="002A6CAC"/>
    <w:rPr>
      <w:rFonts w:ascii="Times New Roman" w:hAnsi="Times New Roman"/>
      <w:lang w:val="id-ID"/>
    </w:rPr>
  </w:style>
  <w:style w:type="paragraph" w:styleId="Footer">
    <w:name w:val="footer"/>
    <w:basedOn w:val="Normal"/>
    <w:link w:val="FooterChar"/>
    <w:uiPriority w:val="99"/>
    <w:unhideWhenUsed/>
    <w:rsid w:val="002A6CAC"/>
    <w:pPr>
      <w:tabs>
        <w:tab w:val="center" w:pos="4513"/>
        <w:tab w:val="right" w:pos="9026"/>
      </w:tabs>
    </w:pPr>
  </w:style>
  <w:style w:type="character" w:customStyle="1" w:styleId="FooterChar">
    <w:name w:val="Footer Char"/>
    <w:basedOn w:val="DefaultParagraphFont"/>
    <w:link w:val="Footer"/>
    <w:uiPriority w:val="99"/>
    <w:rsid w:val="002A6CAC"/>
    <w:rPr>
      <w:rFonts w:ascii="Times New Roman" w:hAnsi="Times New Roman"/>
      <w:lang w:val="id-ID"/>
    </w:rPr>
  </w:style>
  <w:style w:type="table" w:styleId="TableGrid">
    <w:name w:val="Table Grid"/>
    <w:basedOn w:val="TableNormal"/>
    <w:uiPriority w:val="59"/>
    <w:rsid w:val="002A6CAC"/>
    <w:pPr>
      <w:spacing w:after="0" w:line="240" w:lineRule="auto"/>
      <w:ind w:left="709" w:firstLine="567"/>
      <w:jc w:val="both"/>
    </w:pPr>
    <w:rPr>
      <w:rFonts w:ascii="Times New Roman" w:hAnsi="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A6CAC"/>
    <w:rPr>
      <w:color w:val="0563C1" w:themeColor="hyperlink"/>
      <w:u w:val="single"/>
    </w:rPr>
  </w:style>
  <w:style w:type="table" w:styleId="GridTable5Dark-Accent5">
    <w:name w:val="Grid Table 5 Dark Accent 5"/>
    <w:basedOn w:val="TableNormal"/>
    <w:uiPriority w:val="50"/>
    <w:rsid w:val="002A6C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E0672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2C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hirjan.nw@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irjan.nw@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journal.lppmunindra.ac.id/index.php/RDJ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11597</Words>
  <Characters>66105</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2021-02-04T06:22:00Z</dcterms:created>
  <dcterms:modified xsi:type="dcterms:W3CDTF">2021-02-15T07:26:00Z</dcterms:modified>
</cp:coreProperties>
</file>