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28" w:rsidRDefault="00A30734" w:rsidP="00A30734">
      <w:pPr>
        <w:spacing w:after="0" w:line="240" w:lineRule="auto"/>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rPr>
        <w:t>STRATEGY FOR THE FORMATION OF OPTIMAL CAPITAL</w:t>
      </w:r>
      <w:r>
        <w:rPr>
          <w:rFonts w:ascii="Times New Roman" w:eastAsia="Times New Roman" w:hAnsi="Times New Roman" w:cs="Times New Roman"/>
          <w:b/>
          <w:sz w:val="28"/>
          <w:szCs w:val="28"/>
          <w:lang w:val="id-ID"/>
        </w:rPr>
        <w:t xml:space="preserve"> </w:t>
      </w:r>
      <w:r>
        <w:rPr>
          <w:rFonts w:ascii="Times New Roman" w:eastAsia="Times New Roman" w:hAnsi="Times New Roman" w:cs="Times New Roman"/>
          <w:b/>
          <w:sz w:val="28"/>
          <w:szCs w:val="28"/>
        </w:rPr>
        <w:t>STRUCTURE WITH SWOT</w:t>
      </w:r>
      <w:r>
        <w:rPr>
          <w:rFonts w:ascii="Times New Roman" w:eastAsia="Times New Roman" w:hAnsi="Times New Roman" w:cs="Times New Roman"/>
          <w:b/>
          <w:sz w:val="28"/>
          <w:szCs w:val="28"/>
          <w:lang w:val="id-ID"/>
        </w:rPr>
        <w:t xml:space="preserve"> </w:t>
      </w:r>
      <w:r>
        <w:rPr>
          <w:rFonts w:ascii="Times New Roman" w:eastAsia="Times New Roman" w:hAnsi="Times New Roman" w:cs="Times New Roman"/>
          <w:b/>
          <w:sz w:val="28"/>
          <w:szCs w:val="28"/>
        </w:rPr>
        <w:t>ANALYSIS IN</w:t>
      </w:r>
      <w:r>
        <w:rPr>
          <w:rFonts w:ascii="Times New Roman" w:eastAsia="Times New Roman" w:hAnsi="Times New Roman" w:cs="Times New Roman"/>
          <w:b/>
          <w:sz w:val="28"/>
          <w:szCs w:val="28"/>
          <w:lang w:val="id-ID"/>
        </w:rPr>
        <w:t xml:space="preserve"> </w:t>
      </w:r>
      <w:r>
        <w:rPr>
          <w:rFonts w:ascii="Times New Roman" w:eastAsia="Times New Roman" w:hAnsi="Times New Roman" w:cs="Times New Roman"/>
          <w:b/>
          <w:sz w:val="28"/>
          <w:szCs w:val="28"/>
        </w:rPr>
        <w:t>PHARMACEUTICAL SUBSECTORS COMPANIES</w:t>
      </w:r>
    </w:p>
    <w:p w:rsidR="00A30734" w:rsidRDefault="00A30734" w:rsidP="00A30734">
      <w:pPr>
        <w:spacing w:after="0" w:line="240" w:lineRule="auto"/>
        <w:jc w:val="center"/>
        <w:rPr>
          <w:rFonts w:ascii="Times New Roman" w:eastAsia="Times New Roman" w:hAnsi="Times New Roman" w:cs="Times New Roman"/>
          <w:b/>
          <w:sz w:val="28"/>
          <w:szCs w:val="28"/>
          <w:lang w:val="id-ID"/>
        </w:rPr>
      </w:pPr>
    </w:p>
    <w:p w:rsidR="00A30734" w:rsidRDefault="00A30734" w:rsidP="00A30734">
      <w:pPr>
        <w:spacing w:after="0" w:line="240" w:lineRule="auto"/>
        <w:jc w:val="center"/>
        <w:rPr>
          <w:rFonts w:ascii="Times New Roman" w:eastAsia="Times New Roman" w:hAnsi="Times New Roman" w:cs="Times New Roman"/>
          <w:b/>
          <w:sz w:val="28"/>
          <w:szCs w:val="28"/>
          <w:lang w:val="id-ID"/>
        </w:rPr>
      </w:pPr>
    </w:p>
    <w:p w:rsidR="00A30734" w:rsidRPr="00A30734" w:rsidRDefault="00A30734" w:rsidP="00A30734">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Oleh</w:t>
      </w:r>
      <w:r w:rsidRPr="00A30734">
        <w:rPr>
          <w:rFonts w:ascii="Times New Roman" w:eastAsia="Times New Roman" w:hAnsi="Times New Roman" w:cs="Times New Roman"/>
          <w:b/>
          <w:sz w:val="24"/>
          <w:szCs w:val="24"/>
          <w:lang w:val="id-ID"/>
        </w:rPr>
        <w:t xml:space="preserve">: </w:t>
      </w:r>
    </w:p>
    <w:p w:rsidR="00A30734" w:rsidRPr="00A30734" w:rsidRDefault="00A30734" w:rsidP="00A30734">
      <w:pPr>
        <w:spacing w:after="0" w:line="240" w:lineRule="auto"/>
        <w:jc w:val="center"/>
        <w:rPr>
          <w:rFonts w:ascii="Times New Roman" w:eastAsia="Times New Roman" w:hAnsi="Times New Roman" w:cs="Times New Roman"/>
          <w:b/>
          <w:sz w:val="28"/>
          <w:szCs w:val="28"/>
          <w:lang w:val="id-ID"/>
        </w:rPr>
      </w:pPr>
    </w:p>
    <w:p w:rsidR="00642728" w:rsidRDefault="00A30734">
      <w:pPr>
        <w:spacing w:after="0" w:line="240" w:lineRule="auto"/>
        <w:jc w:val="center"/>
        <w:rPr>
          <w:rFonts w:ascii="Times New Roman" w:eastAsia="Times New Roman" w:hAnsi="Times New Roman" w:cs="Times New Roman"/>
          <w:sz w:val="24"/>
          <w:szCs w:val="24"/>
          <w:vertAlign w:val="superscript"/>
          <w:lang w:val="id-ID"/>
        </w:rPr>
      </w:pPr>
      <w:proofErr w:type="spellStart"/>
      <w:r w:rsidRPr="00A30734">
        <w:rPr>
          <w:rFonts w:ascii="Times New Roman" w:eastAsia="Times New Roman" w:hAnsi="Times New Roman" w:cs="Times New Roman"/>
          <w:sz w:val="24"/>
          <w:szCs w:val="24"/>
        </w:rPr>
        <w:t>Andini</w:t>
      </w:r>
      <w:proofErr w:type="spellEnd"/>
      <w:r w:rsidRPr="00A30734">
        <w:rPr>
          <w:rFonts w:ascii="Times New Roman" w:eastAsia="Times New Roman" w:hAnsi="Times New Roman" w:cs="Times New Roman"/>
          <w:sz w:val="24"/>
          <w:szCs w:val="24"/>
        </w:rPr>
        <w:t xml:space="preserve"> </w:t>
      </w:r>
      <w:proofErr w:type="spellStart"/>
      <w:r w:rsidRPr="00A30734">
        <w:rPr>
          <w:rFonts w:ascii="Times New Roman" w:eastAsia="Times New Roman" w:hAnsi="Times New Roman" w:cs="Times New Roman"/>
          <w:sz w:val="24"/>
          <w:szCs w:val="24"/>
        </w:rPr>
        <w:t>Nurwula</w:t>
      </w:r>
      <w:proofErr w:type="spellEnd"/>
      <w:r>
        <w:rPr>
          <w:rFonts w:ascii="Times New Roman" w:eastAsia="Times New Roman" w:hAnsi="Times New Roman" w:cs="Times New Roman"/>
          <w:sz w:val="24"/>
          <w:szCs w:val="24"/>
          <w:lang w:val="id-ID"/>
        </w:rPr>
        <w:t>n</w:t>
      </w:r>
      <w:proofErr w:type="spellStart"/>
      <w:r w:rsidRPr="00A30734">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vertAlign w:val="superscript"/>
          <w:lang w:val="id-ID"/>
        </w:rPr>
        <w:t>1</w:t>
      </w:r>
    </w:p>
    <w:p w:rsidR="00A30734" w:rsidRPr="00A30734" w:rsidRDefault="00A30734" w:rsidP="00A30734">
      <w:pPr>
        <w:spacing w:after="0" w:line="240" w:lineRule="auto"/>
        <w:jc w:val="center"/>
        <w:rPr>
          <w:rFonts w:ascii="Times New Roman" w:eastAsia="Times New Roman" w:hAnsi="Times New Roman" w:cs="Times New Roman"/>
          <w:sz w:val="24"/>
          <w:szCs w:val="24"/>
          <w:vertAlign w:val="superscript"/>
          <w:lang w:val="id-ID"/>
        </w:rPr>
      </w:pPr>
      <w:r>
        <w:rPr>
          <w:rFonts w:ascii="Times New Roman" w:eastAsia="Times New Roman" w:hAnsi="Times New Roman" w:cs="Times New Roman"/>
          <w:sz w:val="24"/>
          <w:szCs w:val="24"/>
          <w:lang w:val="id-ID"/>
        </w:rPr>
        <w:t>Hasanudin</w:t>
      </w:r>
      <w:r>
        <w:rPr>
          <w:rFonts w:ascii="Times New Roman" w:eastAsia="Times New Roman" w:hAnsi="Times New Roman" w:cs="Times New Roman"/>
          <w:sz w:val="24"/>
          <w:szCs w:val="24"/>
          <w:vertAlign w:val="superscript"/>
          <w:lang w:val="id-ID"/>
        </w:rPr>
        <w:t>2</w:t>
      </w:r>
    </w:p>
    <w:p w:rsidR="00A30734" w:rsidRPr="00A30734" w:rsidRDefault="00A30734" w:rsidP="00A30734">
      <w:pPr>
        <w:spacing w:after="0" w:line="240" w:lineRule="auto"/>
        <w:jc w:val="center"/>
        <w:rPr>
          <w:rFonts w:ascii="Times New Roman" w:eastAsia="Times New Roman" w:hAnsi="Times New Roman" w:cs="Times New Roman"/>
          <w:sz w:val="24"/>
          <w:szCs w:val="24"/>
          <w:vertAlign w:val="superscript"/>
          <w:lang w:val="id-ID"/>
        </w:rPr>
      </w:pPr>
      <w:proofErr w:type="spellStart"/>
      <w:r w:rsidRPr="00A30734">
        <w:rPr>
          <w:rFonts w:ascii="Times New Roman" w:eastAsia="Times New Roman" w:hAnsi="Times New Roman" w:cs="Times New Roman"/>
          <w:sz w:val="24"/>
          <w:szCs w:val="24"/>
        </w:rPr>
        <w:t>Artardo</w:t>
      </w:r>
      <w:proofErr w:type="spellEnd"/>
      <w:r w:rsidRPr="00A30734">
        <w:rPr>
          <w:rFonts w:ascii="Times New Roman" w:eastAsia="Times New Roman" w:hAnsi="Times New Roman" w:cs="Times New Roman"/>
          <w:sz w:val="24"/>
          <w:szCs w:val="24"/>
        </w:rPr>
        <w:t xml:space="preserve"> </w:t>
      </w:r>
      <w:proofErr w:type="spellStart"/>
      <w:r w:rsidRPr="00A30734">
        <w:rPr>
          <w:rFonts w:ascii="Times New Roman" w:eastAsia="Times New Roman" w:hAnsi="Times New Roman" w:cs="Times New Roman"/>
          <w:sz w:val="24"/>
          <w:szCs w:val="24"/>
        </w:rPr>
        <w:t>Burhan</w:t>
      </w:r>
      <w:proofErr w:type="spellEnd"/>
      <w:r>
        <w:rPr>
          <w:rFonts w:ascii="Times New Roman" w:eastAsia="Times New Roman" w:hAnsi="Times New Roman" w:cs="Times New Roman"/>
          <w:sz w:val="24"/>
          <w:szCs w:val="24"/>
          <w:vertAlign w:val="superscript"/>
          <w:lang w:val="id-ID"/>
        </w:rPr>
        <w:t>3</w:t>
      </w:r>
    </w:p>
    <w:p w:rsidR="00A30734" w:rsidRPr="00A30734" w:rsidRDefault="00A30734">
      <w:pPr>
        <w:spacing w:after="0" w:line="240" w:lineRule="auto"/>
        <w:jc w:val="center"/>
        <w:rPr>
          <w:rFonts w:ascii="Times New Roman" w:eastAsia="Times New Roman" w:hAnsi="Times New Roman" w:cs="Times New Roman"/>
          <w:sz w:val="24"/>
          <w:szCs w:val="24"/>
          <w:lang w:val="id-ID"/>
        </w:rPr>
      </w:pPr>
    </w:p>
    <w:p w:rsidR="00642728" w:rsidRDefault="00A30734" w:rsidP="00A30734">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vertAlign w:val="superscript"/>
          <w:lang w:val="id-ID"/>
        </w:rPr>
        <w:t xml:space="preserve">1,2,3 </w:t>
      </w:r>
      <w:r>
        <w:rPr>
          <w:rFonts w:ascii="Times New Roman" w:eastAsia="Times New Roman" w:hAnsi="Times New Roman" w:cs="Times New Roman"/>
          <w:sz w:val="24"/>
          <w:szCs w:val="24"/>
          <w:lang w:val="id-ID"/>
        </w:rPr>
        <w:t xml:space="preserve">Pascasarjana Manajemen, </w:t>
      </w:r>
      <w:proofErr w:type="spellStart"/>
      <w:r w:rsidRPr="00A30734">
        <w:rPr>
          <w:rFonts w:ascii="Times New Roman" w:eastAsia="Times New Roman" w:hAnsi="Times New Roman" w:cs="Times New Roman"/>
          <w:sz w:val="24"/>
          <w:szCs w:val="24"/>
        </w:rPr>
        <w:t>Universitas</w:t>
      </w:r>
      <w:proofErr w:type="spellEnd"/>
      <w:r w:rsidRPr="00A30734">
        <w:rPr>
          <w:rFonts w:ascii="Times New Roman" w:eastAsia="Times New Roman" w:hAnsi="Times New Roman" w:cs="Times New Roman"/>
          <w:sz w:val="24"/>
          <w:szCs w:val="24"/>
        </w:rPr>
        <w:t xml:space="preserve"> </w:t>
      </w:r>
      <w:proofErr w:type="spellStart"/>
      <w:r w:rsidRPr="00A30734">
        <w:rPr>
          <w:rFonts w:ascii="Times New Roman" w:eastAsia="Times New Roman" w:hAnsi="Times New Roman" w:cs="Times New Roman"/>
          <w:sz w:val="24"/>
          <w:szCs w:val="24"/>
        </w:rPr>
        <w:t>Nasional</w:t>
      </w:r>
      <w:proofErr w:type="spellEnd"/>
      <w:r w:rsidRPr="00A30734">
        <w:rPr>
          <w:rFonts w:ascii="Times New Roman" w:eastAsia="Times New Roman" w:hAnsi="Times New Roman" w:cs="Times New Roman"/>
          <w:sz w:val="24"/>
          <w:szCs w:val="24"/>
        </w:rPr>
        <w:t>, Jakarta</w:t>
      </w:r>
    </w:p>
    <w:p w:rsidR="00A30734" w:rsidRDefault="00A30734">
      <w:pPr>
        <w:spacing w:after="0" w:line="240" w:lineRule="auto"/>
        <w:jc w:val="center"/>
        <w:rPr>
          <w:rFonts w:ascii="Times New Roman" w:eastAsia="Times New Roman" w:hAnsi="Times New Roman" w:cs="Times New Roman"/>
          <w:sz w:val="24"/>
          <w:szCs w:val="24"/>
          <w:lang w:val="id-ID"/>
        </w:rPr>
      </w:pPr>
    </w:p>
    <w:p w:rsidR="00A30734" w:rsidRPr="00A30734" w:rsidRDefault="00A30734">
      <w:pPr>
        <w:spacing w:after="0" w:line="240" w:lineRule="auto"/>
        <w:jc w:val="center"/>
        <w:rPr>
          <w:rFonts w:ascii="Times New Roman" w:eastAsia="Times New Roman" w:hAnsi="Times New Roman" w:cs="Times New Roman"/>
          <w:b/>
          <w:sz w:val="24"/>
          <w:szCs w:val="24"/>
          <w:lang w:val="id-ID"/>
        </w:rPr>
      </w:pPr>
      <w:r w:rsidRPr="00A30734">
        <w:rPr>
          <w:rFonts w:ascii="Times New Roman" w:eastAsia="Times New Roman" w:hAnsi="Times New Roman" w:cs="Times New Roman"/>
          <w:b/>
          <w:sz w:val="24"/>
          <w:szCs w:val="24"/>
          <w:lang w:val="id-ID"/>
        </w:rPr>
        <w:t xml:space="preserve">Email: </w:t>
      </w:r>
    </w:p>
    <w:p w:rsidR="00642728" w:rsidRPr="00A30734" w:rsidRDefault="00A30734">
      <w:pPr>
        <w:spacing w:after="0" w:line="240" w:lineRule="auto"/>
        <w:jc w:val="center"/>
        <w:rPr>
          <w:rFonts w:ascii="Times New Roman" w:eastAsia="Times New Roman" w:hAnsi="Times New Roman" w:cs="Times New Roman"/>
          <w:i/>
          <w:sz w:val="24"/>
          <w:szCs w:val="24"/>
        </w:rPr>
      </w:pPr>
      <w:hyperlink r:id="rId8">
        <w:r w:rsidRPr="00A30734">
          <w:rPr>
            <w:rFonts w:ascii="Times New Roman" w:eastAsia="Times New Roman" w:hAnsi="Times New Roman" w:cs="Times New Roman"/>
            <w:i/>
            <w:color w:val="0000FF"/>
            <w:sz w:val="24"/>
            <w:szCs w:val="24"/>
            <w:u w:val="single"/>
          </w:rPr>
          <w:t>andinmanajemen@gmail.com</w:t>
        </w:r>
      </w:hyperlink>
    </w:p>
    <w:p w:rsidR="00A30734" w:rsidRDefault="00A30734">
      <w:pPr>
        <w:spacing w:line="240" w:lineRule="auto"/>
        <w:rPr>
          <w:rFonts w:ascii="Times New Roman" w:eastAsia="Times New Roman" w:hAnsi="Times New Roman" w:cs="Times New Roman"/>
          <w:b/>
          <w:sz w:val="24"/>
          <w:szCs w:val="24"/>
          <w:lang w:val="id-ID"/>
        </w:rPr>
      </w:pPr>
    </w:p>
    <w:p w:rsidR="00A30734" w:rsidRPr="00A30734" w:rsidRDefault="00A30734" w:rsidP="00A30734">
      <w:pPr>
        <w:spacing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ABSTRACK</w:t>
      </w:r>
    </w:p>
    <w:p w:rsidR="00642728" w:rsidRDefault="00A30734" w:rsidP="00F525EF">
      <w:pPr>
        <w:pBdr>
          <w:top w:val="nil"/>
          <w:left w:val="nil"/>
          <w:bottom w:val="nil"/>
          <w:right w:val="nil"/>
          <w:between w:val="nil"/>
        </w:pBdr>
        <w:spacing w:after="0" w:line="240" w:lineRule="auto"/>
        <w:jc w:val="both"/>
        <w:rPr>
          <w:rFonts w:ascii="Times New Roman" w:eastAsia="Times New Roman" w:hAnsi="Times New Roman" w:cs="Times New Roman"/>
          <w:i/>
          <w:color w:val="0E101A"/>
          <w:lang w:val="id-ID"/>
        </w:rPr>
      </w:pPr>
      <w:r w:rsidRPr="00F525EF">
        <w:rPr>
          <w:rFonts w:ascii="Times New Roman" w:eastAsia="Times New Roman" w:hAnsi="Times New Roman" w:cs="Times New Roman"/>
          <w:i/>
          <w:color w:val="0E101A"/>
        </w:rPr>
        <w:t xml:space="preserve">This study aims to determine the optimal capital structure formation in pharmaceutical sub-sector companies during the period 2014 - 2019 by analyzing profitability, dividend policy, and the SWOT matrix model by analyzing strengths, weaknesses, opportunities, and threats and being the basis for formulating various alternatives. These strategies can be carried out by company management. The company's profitability is not optimal; the company can still distribute dividends. And the results of the study illustrate that the capital structure of the pharmaceutical sub-sector company is not yet optimal. The average proportion of long-term debt capital structure of pharmaceutical sub-sector companies is 18.43% debt and 81.57% equity. Calculation of company value from 2014 - 2019 using the Modigliani Miller approach with a debt proportion of 0% - 100% shows that the highest company value of pharmaceutical sub-sector companies is in the composition of 30% debt and 70% equity. The total WACC averages 47% of the debt. </w:t>
      </w:r>
      <w:proofErr w:type="gramStart"/>
      <w:r w:rsidRPr="00F525EF">
        <w:rPr>
          <w:rFonts w:ascii="Times New Roman" w:eastAsia="Times New Roman" w:hAnsi="Times New Roman" w:cs="Times New Roman"/>
          <w:i/>
          <w:color w:val="0E101A"/>
        </w:rPr>
        <w:t>By producing a WACC of 1.92% - 16.89% with a total average WACC of 10%.</w:t>
      </w:r>
      <w:proofErr w:type="gramEnd"/>
      <w:r w:rsidRPr="00F525EF">
        <w:rPr>
          <w:rFonts w:ascii="Times New Roman" w:eastAsia="Times New Roman" w:hAnsi="Times New Roman" w:cs="Times New Roman"/>
          <w:i/>
          <w:color w:val="0E101A"/>
        </w:rPr>
        <w:t xml:space="preserve"> By considering the WACC, it is concluded that the optimal capital structure for the average pharmaceutical sub-sector company is in the composition of 30% to 60% of the debt.</w:t>
      </w:r>
      <w:r w:rsidRPr="00F525EF">
        <w:rPr>
          <w:rFonts w:ascii="Times New Roman" w:eastAsia="Times New Roman" w:hAnsi="Times New Roman" w:cs="Times New Roman"/>
          <w:i/>
          <w:color w:val="0E101A"/>
          <w:lang w:val="id-ID"/>
        </w:rPr>
        <w:t xml:space="preserve"> </w:t>
      </w:r>
      <w:r w:rsidRPr="00F525EF">
        <w:rPr>
          <w:rFonts w:ascii="Times New Roman" w:eastAsia="Times New Roman" w:hAnsi="Times New Roman" w:cs="Times New Roman"/>
          <w:i/>
          <w:color w:val="0E101A"/>
        </w:rPr>
        <w:t>Meanwhile, the average WACC is 11.10%, and with financial distress, the average WACC value is 10%. Based on considering the company value and WACC above, the capital structure of the pharmaceutical sub-sector company is not optimal. The optimal capital structure will result in high Firm Value and the lowest cost of capital. The results of this study have implications for financial performance, capital structure, firm value, the weighted average cost of capital (WACC), and SWOT analysis, which need to be optimized to achieve optimal capital structure.</w:t>
      </w:r>
    </w:p>
    <w:p w:rsidR="00F525EF" w:rsidRPr="00F525EF" w:rsidRDefault="00F525EF" w:rsidP="00F525EF">
      <w:pPr>
        <w:pBdr>
          <w:top w:val="nil"/>
          <w:left w:val="nil"/>
          <w:bottom w:val="nil"/>
          <w:right w:val="nil"/>
          <w:between w:val="nil"/>
        </w:pBdr>
        <w:spacing w:after="0" w:line="240" w:lineRule="auto"/>
        <w:jc w:val="both"/>
        <w:rPr>
          <w:rFonts w:ascii="Times New Roman" w:eastAsia="Times New Roman" w:hAnsi="Times New Roman" w:cs="Times New Roman"/>
          <w:i/>
          <w:color w:val="0E101A"/>
          <w:lang w:val="id-ID"/>
        </w:rPr>
      </w:pPr>
    </w:p>
    <w:p w:rsidR="00642728" w:rsidRDefault="00A30734" w:rsidP="00F525EF">
      <w:pPr>
        <w:spacing w:after="0" w:line="240" w:lineRule="auto"/>
        <w:ind w:left="1134" w:hanging="1134"/>
        <w:jc w:val="both"/>
        <w:rPr>
          <w:rFonts w:ascii="Times New Roman" w:eastAsia="Times New Roman" w:hAnsi="Times New Roman" w:cs="Times New Roman"/>
          <w:i/>
        </w:rPr>
      </w:pPr>
      <w:proofErr w:type="gramStart"/>
      <w:r w:rsidRPr="00F525EF">
        <w:rPr>
          <w:rFonts w:ascii="Times New Roman" w:eastAsia="Times New Roman" w:hAnsi="Times New Roman" w:cs="Times New Roman"/>
          <w:b/>
          <w:i/>
        </w:rPr>
        <w:t>Keywords :</w:t>
      </w:r>
      <w:proofErr w:type="gramEnd"/>
      <w:r w:rsidRPr="00F525EF">
        <w:rPr>
          <w:rFonts w:ascii="Times New Roman" w:eastAsia="Times New Roman" w:hAnsi="Times New Roman" w:cs="Times New Roman"/>
          <w:b/>
          <w:i/>
        </w:rPr>
        <w:t xml:space="preserve"> </w:t>
      </w:r>
      <w:r w:rsidR="00F525EF" w:rsidRPr="00F525EF">
        <w:rPr>
          <w:rFonts w:ascii="Times New Roman" w:eastAsia="Times New Roman" w:hAnsi="Times New Roman" w:cs="Times New Roman"/>
          <w:b/>
          <w:i/>
          <w:lang w:val="id-ID"/>
        </w:rPr>
        <w:t xml:space="preserve"> </w:t>
      </w:r>
      <w:r w:rsidRPr="00F525EF">
        <w:rPr>
          <w:rFonts w:ascii="Times New Roman" w:eastAsia="Times New Roman" w:hAnsi="Times New Roman" w:cs="Times New Roman"/>
          <w:i/>
        </w:rPr>
        <w:t>Financial Ratios, Capital Structure, Firm Value, WACC, Financial Distress, SWOT.</w:t>
      </w:r>
    </w:p>
    <w:p w:rsidR="00642728" w:rsidRDefault="00A30734" w:rsidP="00F525EF">
      <w:pPr>
        <w:spacing w:line="240" w:lineRule="auto"/>
        <w:ind w:hanging="990"/>
        <w:jc w:val="both"/>
        <w:rPr>
          <w:rFonts w:ascii="Times New Roman" w:eastAsia="Times New Roman" w:hAnsi="Times New Roman" w:cs="Times New Roman"/>
          <w:i/>
          <w:sz w:val="24"/>
          <w:szCs w:val="24"/>
          <w:lang w:val="id-ID"/>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b/>
      </w:r>
    </w:p>
    <w:p w:rsidR="00F525EF" w:rsidRPr="00F525EF" w:rsidRDefault="00F525EF" w:rsidP="00F525EF">
      <w:pPr>
        <w:spacing w:line="240" w:lineRule="auto"/>
        <w:ind w:hanging="990"/>
        <w:jc w:val="both"/>
        <w:rPr>
          <w:rFonts w:ascii="Times New Roman" w:eastAsia="Times New Roman" w:hAnsi="Times New Roman" w:cs="Times New Roman"/>
          <w:i/>
          <w:sz w:val="24"/>
          <w:szCs w:val="24"/>
          <w:lang w:val="id-ID"/>
        </w:rPr>
      </w:pPr>
    </w:p>
    <w:p w:rsidR="00642728" w:rsidRPr="00F525EF" w:rsidRDefault="00A30734" w:rsidP="00F525EF">
      <w:pPr>
        <w:pStyle w:val="ListParagraph"/>
        <w:widowControl w:val="0"/>
        <w:numPr>
          <w:ilvl w:val="0"/>
          <w:numId w:val="2"/>
        </w:numPr>
        <w:pBdr>
          <w:top w:val="nil"/>
          <w:left w:val="nil"/>
          <w:bottom w:val="nil"/>
          <w:right w:val="nil"/>
          <w:between w:val="nil"/>
        </w:pBdr>
        <w:spacing w:after="120" w:line="240" w:lineRule="auto"/>
        <w:ind w:hanging="720"/>
        <w:rPr>
          <w:rFonts w:ascii="Times New Roman" w:eastAsia="Times New Roman" w:hAnsi="Times New Roman" w:cs="Times New Roman"/>
          <w:b/>
          <w:color w:val="000000"/>
          <w:sz w:val="24"/>
          <w:szCs w:val="24"/>
        </w:rPr>
      </w:pPr>
      <w:r w:rsidRPr="00F525EF">
        <w:rPr>
          <w:rFonts w:ascii="Times New Roman" w:eastAsia="Times New Roman" w:hAnsi="Times New Roman" w:cs="Times New Roman"/>
          <w:b/>
          <w:color w:val="000000"/>
          <w:sz w:val="24"/>
          <w:szCs w:val="24"/>
        </w:rPr>
        <w:lastRenderedPageBreak/>
        <w:t>INTRODUCTION</w:t>
      </w:r>
    </w:p>
    <w:p w:rsidR="00642728" w:rsidRDefault="00A30734" w:rsidP="00F525EF">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life expectancy and awareness of the healthy life of the Indonesian population will encourage increased consumption related to improving public health, so the Indonesian pharmaceutical market is predicted to continue to grow and have excellent prospects in the future. In this pharmaceutical sub-sector company, drugs and health supplements are some of the pharmaceutical products that play an essential role in health efforts, starting from efforts to improve health, prevention, diagnosis, treatment, and recovery, so it must always be endeavored to be available when needed.</w:t>
      </w:r>
    </w:p>
    <w:p w:rsidR="00642728" w:rsidRDefault="00A30734" w:rsidP="00F525EF">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indicators determine the optimal capital structure. The first indicator is the cost of capital; if the company incurs a high cost of capital, it indicates an inadequate capital structure. According to </w:t>
      </w:r>
      <w:proofErr w:type="spellStart"/>
      <w:r>
        <w:rPr>
          <w:rFonts w:ascii="Times New Roman" w:eastAsia="Times New Roman" w:hAnsi="Times New Roman" w:cs="Times New Roman"/>
          <w:sz w:val="24"/>
          <w:szCs w:val="24"/>
        </w:rPr>
        <w:t>Martono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Harjito</w:t>
      </w:r>
      <w:proofErr w:type="spellEnd"/>
      <w:r>
        <w:rPr>
          <w:rFonts w:ascii="Times New Roman" w:eastAsia="Times New Roman" w:hAnsi="Times New Roman" w:cs="Times New Roman"/>
          <w:sz w:val="24"/>
          <w:szCs w:val="24"/>
        </w:rPr>
        <w:t xml:space="preserve"> (2003: 240), "The optimal capital structure can be interpreted as a capital structure that can minimize the overall cost of capital or an average cost of capital so that it will maximize firm value."</w:t>
      </w:r>
    </w:p>
    <w:p w:rsidR="00642728" w:rsidRDefault="00A30734" w:rsidP="00F525EF">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capital has an essential meaning for companies in making decisions on capital structure. Companies use several sources of funds, so calculating the weighted average cost of capital of all capital used can be calculated. The size of the weighted average cost of capital will affect firm value.</w:t>
      </w:r>
    </w:p>
    <w:p w:rsidR="00642728" w:rsidRDefault="00A30734" w:rsidP="00F525EF">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trade-off theory, several theories determine the optimal capital structure (De Haas and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2004). Companies optimize their capital structure because of their trade-offs between the advantages and disadvantages of using debt on firm value. On the one hand, increasing leverage by issuing more debt means that companies benefit from reduced taxes on interest expense, which will increase the value of the company (Modigliani and Miller in De Haas and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2004). On the other hand, high leverage will increase direct and indirect costs of financial distress and reduce firm value. Direct costs include legal and administrative expenses of liquidation or reorganization. In contrast, indirect costs include the inability to run a business and agency costs associated with the high risk of bankruptcy, namely incentives for shareholders to choose risky projects (Ross et al. in </w:t>
      </w:r>
      <w:proofErr w:type="spellStart"/>
      <w:r>
        <w:rPr>
          <w:rFonts w:ascii="Times New Roman" w:eastAsia="Times New Roman" w:hAnsi="Times New Roman" w:cs="Times New Roman"/>
          <w:sz w:val="24"/>
          <w:szCs w:val="24"/>
        </w:rPr>
        <w:t>DeHaas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2004).</w:t>
      </w:r>
    </w:p>
    <w:p w:rsidR="00642728" w:rsidRDefault="00A30734" w:rsidP="00F525EF">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Munawir</w:t>
      </w:r>
      <w:proofErr w:type="spellEnd"/>
      <w:r>
        <w:rPr>
          <w:rFonts w:ascii="Times New Roman" w:eastAsia="Times New Roman" w:hAnsi="Times New Roman" w:cs="Times New Roman"/>
          <w:sz w:val="24"/>
          <w:szCs w:val="24"/>
        </w:rPr>
        <w:t xml:space="preserve"> (2001), liquidity shows the ability of a company to meet its financial obligations that must be fulfilled immediately or the company's ability to meet financial obligations when they are collected. The profitability ratio is a ratio to assess the company's ability to seek profits. This ratio also provides a measure of the level of management effectiveness of a company. This is indicated by the profit generated from sales and investment income. The point is that this ratio's use shows the company's efficiency (</w:t>
      </w:r>
      <w:proofErr w:type="spellStart"/>
      <w:r>
        <w:rPr>
          <w:rFonts w:ascii="Times New Roman" w:eastAsia="Times New Roman" w:hAnsi="Times New Roman" w:cs="Times New Roman"/>
          <w:sz w:val="24"/>
          <w:szCs w:val="24"/>
        </w:rPr>
        <w:t>Kasmir</w:t>
      </w:r>
      <w:proofErr w:type="spellEnd"/>
      <w:r>
        <w:rPr>
          <w:rFonts w:ascii="Times New Roman" w:eastAsia="Times New Roman" w:hAnsi="Times New Roman" w:cs="Times New Roman"/>
          <w:sz w:val="24"/>
          <w:szCs w:val="24"/>
        </w:rPr>
        <w:t xml:space="preserve">, 2015: 196). According to </w:t>
      </w:r>
      <w:proofErr w:type="spellStart"/>
      <w:r>
        <w:rPr>
          <w:rFonts w:ascii="Times New Roman" w:eastAsia="Times New Roman" w:hAnsi="Times New Roman" w:cs="Times New Roman"/>
          <w:sz w:val="24"/>
          <w:szCs w:val="24"/>
        </w:rPr>
        <w:t>Friady</w:t>
      </w:r>
      <w:proofErr w:type="spellEnd"/>
      <w:r>
        <w:rPr>
          <w:rFonts w:ascii="Times New Roman" w:eastAsia="Times New Roman" w:hAnsi="Times New Roman" w:cs="Times New Roman"/>
          <w:sz w:val="24"/>
          <w:szCs w:val="24"/>
        </w:rPr>
        <w:t xml:space="preserve"> (2006), the dividend policy is a decision on whether the profits earned by the company at the end of the year will be distributed to shareholders in the form of dividends or will be retained to increase capital for future investment financing.</w:t>
      </w:r>
    </w:p>
    <w:p w:rsidR="00642728" w:rsidRDefault="00A30734" w:rsidP="00F525EF">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analytical methods were developed to predict the onset of corporate bankruptcy. With his theory, "Z-Score Altman," Altman states that the </w:t>
      </w:r>
      <w:r>
        <w:rPr>
          <w:rFonts w:ascii="Times New Roman" w:eastAsia="Times New Roman" w:hAnsi="Times New Roman" w:cs="Times New Roman"/>
          <w:sz w:val="24"/>
          <w:szCs w:val="24"/>
        </w:rPr>
        <w:lastRenderedPageBreak/>
        <w:t>financial ratio is very limited because the ratio is partially calculated. For the ratio to be perfect, it should be tested with statistical regression calculations. Altman provides an index of various independent variables to determine whether a company will go bankrupt (unhealthy) or not bankrupt (healthy). Companies that will go bankrupt are companies that have a Z-Score &lt;</w:t>
      </w:r>
      <w:proofErr w:type="gramStart"/>
      <w:r>
        <w:rPr>
          <w:rFonts w:ascii="Times New Roman" w:eastAsia="Times New Roman" w:hAnsi="Times New Roman" w:cs="Times New Roman"/>
          <w:sz w:val="24"/>
          <w:szCs w:val="24"/>
        </w:rPr>
        <w:t>2.99,</w:t>
      </w:r>
      <w:proofErr w:type="gramEnd"/>
      <w:r>
        <w:rPr>
          <w:rFonts w:ascii="Times New Roman" w:eastAsia="Times New Roman" w:hAnsi="Times New Roman" w:cs="Times New Roman"/>
          <w:sz w:val="24"/>
          <w:szCs w:val="24"/>
        </w:rPr>
        <w:t xml:space="preserve"> and a healthy company is a company that has a Z-Score&gt; 2.99. Using the Altman Z-Score theory, pharmaceutical sub-sector companies can remind of financial problems that may require serious attention. In this theory, the Altman Z-Score uses financial ratios as a basis for analyzing the condition of the pharmaceutical sub-sector </w:t>
      </w:r>
      <w:proofErr w:type="spellStart"/>
      <w:r>
        <w:rPr>
          <w:rFonts w:ascii="Times New Roman" w:eastAsia="Times New Roman" w:hAnsi="Times New Roman" w:cs="Times New Roman"/>
          <w:sz w:val="24"/>
          <w:szCs w:val="24"/>
        </w:rPr>
        <w:t>company.Based</w:t>
      </w:r>
      <w:proofErr w:type="spellEnd"/>
      <w:r>
        <w:rPr>
          <w:rFonts w:ascii="Times New Roman" w:eastAsia="Times New Roman" w:hAnsi="Times New Roman" w:cs="Times New Roman"/>
          <w:sz w:val="24"/>
          <w:szCs w:val="24"/>
        </w:rPr>
        <w:t xml:space="preserve"> on the annual financial statements published through the websites of each pharmaceutical sub-sector company, the total equity of the company is as follows:</w:t>
      </w:r>
    </w:p>
    <w:p w:rsidR="00642728" w:rsidRPr="00D80741" w:rsidRDefault="00A30734" w:rsidP="00F525EF">
      <w:pPr>
        <w:spacing w:after="0" w:line="240" w:lineRule="auto"/>
        <w:jc w:val="both"/>
        <w:rPr>
          <w:rFonts w:ascii="Times New Roman" w:eastAsia="Times New Roman" w:hAnsi="Times New Roman" w:cs="Times New Roman"/>
          <w:i/>
        </w:rPr>
      </w:pPr>
      <w:r w:rsidRPr="00D80741">
        <w:rPr>
          <w:rFonts w:ascii="Times New Roman" w:eastAsia="Times New Roman" w:hAnsi="Times New Roman" w:cs="Times New Roman"/>
          <w:i/>
        </w:rPr>
        <w:t>Table 1: Capital Structure of Companies in the Pharmaceutical Sub-Sector, 2014-2019</w:t>
      </w:r>
    </w:p>
    <w:tbl>
      <w:tblPr>
        <w:tblStyle w:val="a"/>
        <w:tblW w:w="7340" w:type="dxa"/>
        <w:jc w:val="center"/>
        <w:tblBorders>
          <w:top w:val="single" w:sz="4" w:space="0" w:color="auto"/>
          <w:bottom w:val="single" w:sz="4" w:space="0" w:color="auto"/>
        </w:tblBorders>
        <w:tblLayout w:type="fixed"/>
        <w:tblLook w:val="0400" w:firstRow="0" w:lastRow="0" w:firstColumn="0" w:lastColumn="0" w:noHBand="0" w:noVBand="1"/>
      </w:tblPr>
      <w:tblGrid>
        <w:gridCol w:w="960"/>
        <w:gridCol w:w="1660"/>
        <w:gridCol w:w="1060"/>
        <w:gridCol w:w="1880"/>
        <w:gridCol w:w="1780"/>
      </w:tblGrid>
      <w:tr w:rsidR="00642728" w:rsidTr="00D80741">
        <w:trPr>
          <w:trHeight w:val="315"/>
          <w:jc w:val="center"/>
        </w:trPr>
        <w:tc>
          <w:tcPr>
            <w:tcW w:w="960" w:type="dxa"/>
            <w:tcBorders>
              <w:top w:val="single" w:sz="4" w:space="0" w:color="auto"/>
              <w:bottom w:val="single" w:sz="4" w:space="0" w:color="auto"/>
            </w:tcBorders>
            <w:shd w:val="clear" w:color="auto" w:fill="auto"/>
            <w:vAlign w:val="center"/>
          </w:tcPr>
          <w:p w:rsidR="00642728" w:rsidRDefault="00A30734" w:rsidP="00F525EF">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660" w:type="dxa"/>
            <w:tcBorders>
              <w:top w:val="single" w:sz="4" w:space="0" w:color="auto"/>
              <w:bottom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Debt (B)</w:t>
            </w:r>
          </w:p>
        </w:tc>
        <w:tc>
          <w:tcPr>
            <w:tcW w:w="1060" w:type="dxa"/>
            <w:tcBorders>
              <w:top w:val="single" w:sz="4" w:space="0" w:color="auto"/>
              <w:bottom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Equity</w:t>
            </w:r>
          </w:p>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1880" w:type="dxa"/>
            <w:tcBorders>
              <w:top w:val="single" w:sz="4" w:space="0" w:color="auto"/>
              <w:bottom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Percentage of Debt Percentage of Capital</w:t>
            </w:r>
          </w:p>
        </w:tc>
        <w:tc>
          <w:tcPr>
            <w:tcW w:w="1780" w:type="dxa"/>
            <w:tcBorders>
              <w:top w:val="single" w:sz="4" w:space="0" w:color="auto"/>
              <w:bottom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Percentage of Capital</w:t>
            </w:r>
          </w:p>
        </w:tc>
      </w:tr>
      <w:tr w:rsidR="00642728" w:rsidTr="00D80741">
        <w:trPr>
          <w:trHeight w:val="315"/>
          <w:jc w:val="center"/>
        </w:trPr>
        <w:tc>
          <w:tcPr>
            <w:tcW w:w="960" w:type="dxa"/>
            <w:tcBorders>
              <w:top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w:t>
            </w:r>
          </w:p>
        </w:tc>
        <w:tc>
          <w:tcPr>
            <w:tcW w:w="1660" w:type="dxa"/>
            <w:tcBorders>
              <w:top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1138</w:t>
            </w:r>
          </w:p>
        </w:tc>
        <w:tc>
          <w:tcPr>
            <w:tcW w:w="1060" w:type="dxa"/>
            <w:tcBorders>
              <w:top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3789</w:t>
            </w:r>
          </w:p>
        </w:tc>
        <w:tc>
          <w:tcPr>
            <w:tcW w:w="1880" w:type="dxa"/>
            <w:tcBorders>
              <w:top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780" w:type="dxa"/>
            <w:tcBorders>
              <w:top w:val="single" w:sz="4" w:space="0" w:color="auto"/>
            </w:tcBorders>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42728" w:rsidTr="00D80741">
        <w:trPr>
          <w:trHeight w:val="315"/>
          <w:jc w:val="center"/>
        </w:trPr>
        <w:tc>
          <w:tcPr>
            <w:tcW w:w="9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w:t>
            </w:r>
          </w:p>
        </w:tc>
        <w:tc>
          <w:tcPr>
            <w:tcW w:w="16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1532</w:t>
            </w:r>
          </w:p>
        </w:tc>
        <w:tc>
          <w:tcPr>
            <w:tcW w:w="10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4043</w:t>
            </w:r>
          </w:p>
        </w:tc>
        <w:tc>
          <w:tcPr>
            <w:tcW w:w="18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7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r>
      <w:tr w:rsidR="00642728" w:rsidTr="00D80741">
        <w:trPr>
          <w:trHeight w:val="315"/>
          <w:jc w:val="center"/>
        </w:trPr>
        <w:tc>
          <w:tcPr>
            <w:tcW w:w="9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w:t>
            </w:r>
          </w:p>
        </w:tc>
        <w:tc>
          <w:tcPr>
            <w:tcW w:w="16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1674</w:t>
            </w:r>
          </w:p>
        </w:tc>
        <w:tc>
          <w:tcPr>
            <w:tcW w:w="10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3965</w:t>
            </w:r>
          </w:p>
        </w:tc>
        <w:tc>
          <w:tcPr>
            <w:tcW w:w="18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642728" w:rsidTr="00D80741">
        <w:trPr>
          <w:trHeight w:val="315"/>
          <w:jc w:val="center"/>
        </w:trPr>
        <w:tc>
          <w:tcPr>
            <w:tcW w:w="9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6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1964</w:t>
            </w:r>
          </w:p>
        </w:tc>
        <w:tc>
          <w:tcPr>
            <w:tcW w:w="10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4363</w:t>
            </w:r>
          </w:p>
        </w:tc>
        <w:tc>
          <w:tcPr>
            <w:tcW w:w="18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7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642728" w:rsidTr="00D80741">
        <w:trPr>
          <w:trHeight w:val="315"/>
          <w:jc w:val="center"/>
        </w:trPr>
        <w:tc>
          <w:tcPr>
            <w:tcW w:w="9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6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2653</w:t>
            </w:r>
          </w:p>
        </w:tc>
        <w:tc>
          <w:tcPr>
            <w:tcW w:w="10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4783</w:t>
            </w:r>
          </w:p>
        </w:tc>
        <w:tc>
          <w:tcPr>
            <w:tcW w:w="18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7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r>
      <w:tr w:rsidR="00642728" w:rsidTr="00D80741">
        <w:trPr>
          <w:trHeight w:val="315"/>
          <w:jc w:val="center"/>
        </w:trPr>
        <w:tc>
          <w:tcPr>
            <w:tcW w:w="9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p>
        </w:tc>
        <w:tc>
          <w:tcPr>
            <w:tcW w:w="16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4347</w:t>
            </w:r>
          </w:p>
        </w:tc>
        <w:tc>
          <w:tcPr>
            <w:tcW w:w="106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5812</w:t>
            </w:r>
          </w:p>
        </w:tc>
        <w:tc>
          <w:tcPr>
            <w:tcW w:w="18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780" w:type="dxa"/>
            <w:shd w:val="clear" w:color="auto" w:fill="auto"/>
            <w:vAlign w:val="center"/>
          </w:tcPr>
          <w:p w:rsidR="00642728" w:rsidRDefault="00A30734" w:rsidP="00F525EF">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r>
    </w:tbl>
    <w:p w:rsidR="00642728" w:rsidRPr="00D80741" w:rsidRDefault="00A30734" w:rsidP="00D80741">
      <w:pPr>
        <w:spacing w:after="120" w:line="240" w:lineRule="auto"/>
        <w:ind w:left="284"/>
        <w:jc w:val="both"/>
        <w:rPr>
          <w:rFonts w:ascii="Times New Roman" w:eastAsia="Times New Roman" w:hAnsi="Times New Roman" w:cs="Times New Roman"/>
          <w:b/>
          <w:sz w:val="20"/>
          <w:szCs w:val="20"/>
        </w:rPr>
      </w:pPr>
      <w:r w:rsidRPr="00D80741">
        <w:rPr>
          <w:rFonts w:ascii="Times New Roman" w:eastAsia="Times New Roman" w:hAnsi="Times New Roman" w:cs="Times New Roman"/>
          <w:b/>
          <w:sz w:val="20"/>
          <w:szCs w:val="20"/>
        </w:rPr>
        <w:t xml:space="preserve">Source: Pharmaceutical Sub-Sector Company Financial Statements (data processed) </w:t>
      </w:r>
    </w:p>
    <w:p w:rsidR="00642728" w:rsidRDefault="00A30734" w:rsidP="00F525E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table 1, the financial statements of the pharmaceutical sub-sector companies, total debt, and equity have increased significantly. However, the total capital is more than the debt. This indicates that the company's operational activities are predominantly financed by capital. From the table above, a SWOT picture of the capital structure of the pharmaceutical sub-sector company can be made.</w:t>
      </w:r>
    </w:p>
    <w:p w:rsidR="00642728" w:rsidRDefault="00A30734" w:rsidP="00F525E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Maximizing company value is not always just by increasing the company's profit or simply by increasing the company's stock price. When linked with the capital structure theory, Ross et al. (2010) stated that if management's goal is to make the company have maximum value, then the company must choose a debt to equity ratio that can make the company value as high as possible. To see this, the way to do this is to create several scenarios regarding the composition of the company's debt and equity. It will be seen whether the change in the composition will affect the company's value.</w:t>
      </w:r>
    </w:p>
    <w:p w:rsidR="00642728" w:rsidRDefault="00A30734" w:rsidP="00F525E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Researches that discuss optimal capital structure analysis have been carried out (</w:t>
      </w:r>
      <w:proofErr w:type="spellStart"/>
      <w:r>
        <w:rPr>
          <w:rFonts w:ascii="Times New Roman" w:eastAsia="Times New Roman" w:hAnsi="Times New Roman" w:cs="Times New Roman"/>
          <w:sz w:val="24"/>
          <w:szCs w:val="24"/>
        </w:rPr>
        <w:t>Anggoro</w:t>
      </w:r>
      <w:proofErr w:type="spellEnd"/>
      <w:r>
        <w:rPr>
          <w:rFonts w:ascii="Times New Roman" w:eastAsia="Times New Roman" w:hAnsi="Times New Roman" w:cs="Times New Roman"/>
          <w:sz w:val="24"/>
          <w:szCs w:val="24"/>
        </w:rPr>
        <w:t xml:space="preserve"> et al., 2020) concluded that the primary strategy undertaken </w:t>
      </w:r>
      <w:r>
        <w:rPr>
          <w:rFonts w:ascii="Times New Roman" w:eastAsia="Times New Roman" w:hAnsi="Times New Roman" w:cs="Times New Roman"/>
          <w:sz w:val="24"/>
          <w:szCs w:val="24"/>
        </w:rPr>
        <w:lastRenderedPageBreak/>
        <w:t xml:space="preserve">by PT XYZ is business expansion by increasing the number of new offices to create a more significant number of customers and can provide more. </w:t>
      </w:r>
      <w:proofErr w:type="gramStart"/>
      <w:r>
        <w:rPr>
          <w:rFonts w:ascii="Times New Roman" w:eastAsia="Times New Roman" w:hAnsi="Times New Roman" w:cs="Times New Roman"/>
          <w:sz w:val="24"/>
          <w:szCs w:val="24"/>
        </w:rPr>
        <w:t>Benefits of the development of MSMEs in Indonesia.</w:t>
      </w:r>
      <w:proofErr w:type="gramEnd"/>
      <w:r>
        <w:rPr>
          <w:rFonts w:ascii="Times New Roman" w:eastAsia="Times New Roman" w:hAnsi="Times New Roman" w:cs="Times New Roman"/>
          <w:sz w:val="24"/>
          <w:szCs w:val="24"/>
        </w:rPr>
        <w:t xml:space="preserve"> According to </w:t>
      </w:r>
      <w:proofErr w:type="spellStart"/>
      <w:r>
        <w:rPr>
          <w:rFonts w:ascii="Times New Roman" w:eastAsia="Times New Roman" w:hAnsi="Times New Roman" w:cs="Times New Roman"/>
          <w:sz w:val="24"/>
          <w:szCs w:val="24"/>
        </w:rPr>
        <w:t>Sofyaun</w:t>
      </w:r>
      <w:proofErr w:type="spellEnd"/>
      <w:r>
        <w:rPr>
          <w:rFonts w:ascii="Times New Roman" w:eastAsia="Times New Roman" w:hAnsi="Times New Roman" w:cs="Times New Roman"/>
          <w:sz w:val="24"/>
          <w:szCs w:val="24"/>
        </w:rPr>
        <w:t xml:space="preserve"> et al., (2019) concludes that company performance in the perspective of average profitability has not been maximized by utilizing  company capital, the company is consistent in providing dividends to encourage companies to increase debt. Asset ownership as a measure of companies in the food and beverage sector is in the stable category. Several alternatives need to be done by the company, among others, consistent distribution of dividends, maximizing the potential of domestic resources, increasing the ability to produce products efficiently, maximizing the efficient use of debt capital, and improving the quality of all company resources</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Puspitasari</w:t>
      </w:r>
      <w:proofErr w:type="spellEnd"/>
      <w:r>
        <w:rPr>
          <w:rFonts w:ascii="Times New Roman" w:eastAsia="Times New Roman" w:hAnsi="Times New Roman" w:cs="Times New Roman"/>
          <w:sz w:val="24"/>
          <w:szCs w:val="24"/>
        </w:rPr>
        <w:t xml:space="preserve">, 2015) concluded the optimal capital structure of the company PT. XL consists of 50% debt and 50% equity. Then before the simulation as of December 31, 2014, the capital structure of PT. XL has ended up with </w:t>
      </w:r>
      <w:proofErr w:type="gramStart"/>
      <w:r>
        <w:rPr>
          <w:rFonts w:ascii="Times New Roman" w:eastAsia="Times New Roman" w:hAnsi="Times New Roman" w:cs="Times New Roman"/>
          <w:sz w:val="24"/>
          <w:szCs w:val="24"/>
        </w:rPr>
        <w:t>a leverage</w:t>
      </w:r>
      <w:proofErr w:type="gramEnd"/>
      <w:r>
        <w:rPr>
          <w:rFonts w:ascii="Times New Roman" w:eastAsia="Times New Roman" w:hAnsi="Times New Roman" w:cs="Times New Roman"/>
          <w:sz w:val="24"/>
          <w:szCs w:val="24"/>
        </w:rPr>
        <w:t xml:space="preserve"> as debt ratio of 70.10%.</w:t>
      </w:r>
    </w:p>
    <w:p w:rsidR="00642728" w:rsidRDefault="00A30734" w:rsidP="00F525E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w:t>
      </w:r>
      <w:proofErr w:type="spellStart"/>
      <w:r>
        <w:rPr>
          <w:rFonts w:ascii="Times New Roman" w:eastAsia="Times New Roman" w:hAnsi="Times New Roman" w:cs="Times New Roman"/>
          <w:sz w:val="24"/>
          <w:szCs w:val="24"/>
        </w:rPr>
        <w:t>Naibaho</w:t>
      </w:r>
      <w:proofErr w:type="spellEnd"/>
      <w:r>
        <w:rPr>
          <w:rFonts w:ascii="Times New Roman" w:eastAsia="Times New Roman" w:hAnsi="Times New Roman" w:cs="Times New Roman"/>
          <w:sz w:val="24"/>
          <w:szCs w:val="24"/>
        </w:rPr>
        <w:t xml:space="preserve"> 2012), every company needs capital to carry out its operations, similar to PT. X, a company engaged in construction in Indonesia. Currently, the company has a capital structure of 49.58% debt and 50.42% equity. The higher the level of debt, the more likely the company will go bankrupt. The optimal capital structure will result in the highest company value and the lowest cost. The highest company value is in the debt composition of 30%. The lowest cost of capital (WACC) is 11.04%, in the debt composition of 40%. Based on these calculations, the optimal capital structure for PT. X is in the debt composition between 30% -40%.</w:t>
      </w:r>
    </w:p>
    <w:p w:rsidR="00642728" w:rsidRPr="00D80741" w:rsidRDefault="00A30734" w:rsidP="00D80741">
      <w:pPr>
        <w:pStyle w:val="ListParagraph"/>
        <w:widowControl w:val="0"/>
        <w:numPr>
          <w:ilvl w:val="0"/>
          <w:numId w:val="2"/>
        </w:numPr>
        <w:pBdr>
          <w:top w:val="nil"/>
          <w:left w:val="nil"/>
          <w:bottom w:val="nil"/>
          <w:right w:val="nil"/>
          <w:between w:val="nil"/>
        </w:pBdr>
        <w:spacing w:after="0" w:line="240" w:lineRule="auto"/>
        <w:ind w:hanging="720"/>
        <w:rPr>
          <w:rFonts w:ascii="Times New Roman" w:eastAsia="Times New Roman" w:hAnsi="Times New Roman" w:cs="Times New Roman"/>
          <w:b/>
          <w:color w:val="000000"/>
          <w:sz w:val="24"/>
          <w:szCs w:val="24"/>
        </w:rPr>
      </w:pPr>
      <w:r w:rsidRPr="00D80741">
        <w:rPr>
          <w:rFonts w:ascii="Times New Roman" w:eastAsia="Times New Roman" w:hAnsi="Times New Roman" w:cs="Times New Roman"/>
          <w:b/>
          <w:color w:val="000000"/>
          <w:sz w:val="24"/>
          <w:szCs w:val="24"/>
        </w:rPr>
        <w:t>LITERATURE REVIEW</w:t>
      </w:r>
    </w:p>
    <w:p w:rsidR="00D80741" w:rsidRDefault="00D80741" w:rsidP="00D8074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p>
    <w:p w:rsidR="00642728" w:rsidRDefault="00A30734" w:rsidP="00D80741">
      <w:pPr>
        <w:widowControl w:val="0"/>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Capital Structure</w:t>
      </w:r>
    </w:p>
    <w:p w:rsidR="00642728" w:rsidRDefault="00A30734" w:rsidP="00D8074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The capital structure compares the company's long-term funding sources, which is calculated by comparing long-term debt with its own capital</w:t>
      </w:r>
      <w:r w:rsidR="00D80741">
        <w:rPr>
          <w:rFonts w:ascii="Times New Roman" w:eastAsia="Times New Roman" w:hAnsi="Times New Roman" w:cs="Times New Roman"/>
          <w:color w:val="000000"/>
          <w:sz w:val="24"/>
          <w:szCs w:val="24"/>
        </w:rPr>
        <w:t xml:space="preserve"> (</w:t>
      </w:r>
      <w:proofErr w:type="spellStart"/>
      <w:r w:rsidR="00D80741">
        <w:rPr>
          <w:rFonts w:ascii="Times New Roman" w:eastAsia="Times New Roman" w:hAnsi="Times New Roman" w:cs="Times New Roman"/>
          <w:color w:val="000000"/>
          <w:sz w:val="24"/>
          <w:szCs w:val="24"/>
        </w:rPr>
        <w:t>Harjito</w:t>
      </w:r>
      <w:proofErr w:type="spellEnd"/>
      <w:r w:rsidR="00D80741">
        <w:rPr>
          <w:rFonts w:ascii="Times New Roman" w:eastAsia="Times New Roman" w:hAnsi="Times New Roman" w:cs="Times New Roman"/>
          <w:color w:val="000000"/>
          <w:sz w:val="24"/>
          <w:szCs w:val="24"/>
        </w:rPr>
        <w:t xml:space="preserve"> and </w:t>
      </w:r>
      <w:proofErr w:type="spellStart"/>
      <w:r w:rsidR="00D80741">
        <w:rPr>
          <w:rFonts w:ascii="Times New Roman" w:eastAsia="Times New Roman" w:hAnsi="Times New Roman" w:cs="Times New Roman"/>
          <w:color w:val="000000"/>
          <w:sz w:val="24"/>
          <w:szCs w:val="24"/>
        </w:rPr>
        <w:t>Martono</w:t>
      </w:r>
      <w:proofErr w:type="spellEnd"/>
      <w:r w:rsidR="00D80741">
        <w:rPr>
          <w:rFonts w:ascii="Times New Roman" w:eastAsia="Times New Roman" w:hAnsi="Times New Roman" w:cs="Times New Roman"/>
          <w:color w:val="000000"/>
          <w:sz w:val="24"/>
          <w:szCs w:val="24"/>
        </w:rPr>
        <w:t>, 2014</w:t>
      </w:r>
      <w:r>
        <w:rPr>
          <w:rFonts w:ascii="Times New Roman" w:eastAsia="Times New Roman" w:hAnsi="Times New Roman" w:cs="Times New Roman"/>
          <w:color w:val="000000"/>
          <w:sz w:val="24"/>
          <w:szCs w:val="24"/>
        </w:rPr>
        <w:t xml:space="preserve">). If the use of funds originating from its capital is still experiencing losses, the company may consider using funds originating from debt. The capital structure describes the level of risk faced by the company. If the higher the debt, the higher the risk will occur. The optimal use of debt will increase the value of the company. Capital structure is a combination of debt, preferred stock, and common stock, which will be the basis for capital </w:t>
      </w:r>
      <w:proofErr w:type="gramStart"/>
      <w:r>
        <w:rPr>
          <w:rFonts w:ascii="Times New Roman" w:eastAsia="Times New Roman" w:hAnsi="Times New Roman" w:cs="Times New Roman"/>
          <w:color w:val="000000"/>
          <w:sz w:val="24"/>
          <w:szCs w:val="24"/>
        </w:rPr>
        <w:t>raising</w:t>
      </w:r>
      <w:proofErr w:type="gramEnd"/>
      <w:r>
        <w:rPr>
          <w:rFonts w:ascii="Times New Roman" w:eastAsia="Times New Roman" w:hAnsi="Times New Roman" w:cs="Times New Roman"/>
          <w:color w:val="000000"/>
          <w:sz w:val="24"/>
          <w:szCs w:val="24"/>
        </w:rPr>
        <w:t xml:space="preserve"> by the compan</w:t>
      </w:r>
      <w:r w:rsidR="00D80741">
        <w:rPr>
          <w:rFonts w:ascii="Times New Roman" w:eastAsia="Times New Roman" w:hAnsi="Times New Roman" w:cs="Times New Roman"/>
          <w:color w:val="000000"/>
          <w:sz w:val="24"/>
          <w:szCs w:val="24"/>
        </w:rPr>
        <w:t>y (Brigham and Huston, 2011</w:t>
      </w:r>
      <w:r>
        <w:rPr>
          <w:rFonts w:ascii="Times New Roman" w:eastAsia="Times New Roman" w:hAnsi="Times New Roman" w:cs="Times New Roman"/>
          <w:color w:val="000000"/>
          <w:sz w:val="24"/>
          <w:szCs w:val="24"/>
        </w:rPr>
        <w:t xml:space="preserve">). Capital structure can be measured using DER (Debt to Equity Ratio). This ratio shows the relationship between the </w:t>
      </w:r>
      <w:proofErr w:type="gramStart"/>
      <w:r>
        <w:rPr>
          <w:rFonts w:ascii="Times New Roman" w:eastAsia="Times New Roman" w:hAnsi="Times New Roman" w:cs="Times New Roman"/>
          <w:color w:val="000000"/>
          <w:sz w:val="24"/>
          <w:szCs w:val="24"/>
        </w:rPr>
        <w:t>amount</w:t>
      </w:r>
      <w:proofErr w:type="gramEnd"/>
      <w:r>
        <w:rPr>
          <w:rFonts w:ascii="Times New Roman" w:eastAsia="Times New Roman" w:hAnsi="Times New Roman" w:cs="Times New Roman"/>
          <w:color w:val="000000"/>
          <w:sz w:val="24"/>
          <w:szCs w:val="24"/>
        </w:rPr>
        <w:t xml:space="preserve"> of debt owed by creditors with the equity provided by the owner of the company.</w:t>
      </w:r>
    </w:p>
    <w:p w:rsidR="00D80741" w:rsidRPr="00D80741" w:rsidRDefault="00D80741" w:rsidP="00D80741">
      <w:pPr>
        <w:widowControl w:val="0"/>
        <w:pBdr>
          <w:top w:val="nil"/>
          <w:left w:val="nil"/>
          <w:bottom w:val="nil"/>
          <w:right w:val="nil"/>
          <w:between w:val="nil"/>
        </w:pBdr>
        <w:spacing w:after="0" w:line="240" w:lineRule="auto"/>
        <w:jc w:val="both"/>
        <w:rPr>
          <w:b/>
          <w:color w:val="000000"/>
          <w:sz w:val="24"/>
          <w:szCs w:val="24"/>
          <w:lang w:val="id-ID"/>
        </w:rPr>
      </w:pPr>
    </w:p>
    <w:p w:rsidR="00642728" w:rsidRPr="00D80741" w:rsidRDefault="00A30734" w:rsidP="00D80741">
      <w:pPr>
        <w:widowControl w:val="0"/>
        <w:pBdr>
          <w:top w:val="nil"/>
          <w:left w:val="nil"/>
          <w:bottom w:val="nil"/>
          <w:right w:val="nil"/>
          <w:between w:val="nil"/>
        </w:pBdr>
        <w:spacing w:after="120" w:line="240" w:lineRule="auto"/>
        <w:jc w:val="both"/>
        <w:rPr>
          <w:b/>
          <w:color w:val="000000"/>
          <w:sz w:val="24"/>
          <w:szCs w:val="24"/>
        </w:rPr>
      </w:pPr>
      <w:r w:rsidRPr="00D80741">
        <w:rPr>
          <w:rFonts w:ascii="Times New Roman" w:eastAsia="Times New Roman" w:hAnsi="Times New Roman" w:cs="Times New Roman"/>
          <w:b/>
          <w:color w:val="000000"/>
          <w:sz w:val="24"/>
          <w:szCs w:val="24"/>
        </w:rPr>
        <w:t xml:space="preserve">Value of </w:t>
      </w:r>
      <w:proofErr w:type="gramStart"/>
      <w:r w:rsidRPr="00D80741">
        <w:rPr>
          <w:rFonts w:ascii="Times New Roman" w:eastAsia="Times New Roman" w:hAnsi="Times New Roman" w:cs="Times New Roman"/>
          <w:b/>
          <w:color w:val="000000"/>
          <w:sz w:val="24"/>
          <w:szCs w:val="24"/>
        </w:rPr>
        <w:t>The</w:t>
      </w:r>
      <w:proofErr w:type="gramEnd"/>
      <w:r w:rsidRPr="00D80741">
        <w:rPr>
          <w:rFonts w:ascii="Times New Roman" w:eastAsia="Times New Roman" w:hAnsi="Times New Roman" w:cs="Times New Roman"/>
          <w:b/>
          <w:color w:val="000000"/>
          <w:sz w:val="24"/>
          <w:szCs w:val="24"/>
        </w:rPr>
        <w:t xml:space="preserve"> Firm</w:t>
      </w:r>
    </w:p>
    <w:p w:rsidR="00642728" w:rsidRDefault="00A30734" w:rsidP="00D8074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Maximizing company value is not always just by increasing the company's profit or simply by increasing the company's stock price. When linked with the capital structure theory, Ross et al. (2010) stated that if management's goal is to </w:t>
      </w:r>
      <w:r>
        <w:rPr>
          <w:rFonts w:ascii="Times New Roman" w:eastAsia="Times New Roman" w:hAnsi="Times New Roman" w:cs="Times New Roman"/>
          <w:color w:val="000000"/>
          <w:sz w:val="24"/>
          <w:szCs w:val="24"/>
        </w:rPr>
        <w:lastRenderedPageBreak/>
        <w:t>make the company have maximum value, then the company must choose a debt to equity ratio that can make the company value as high as possible. To see this, the way to do this is to create several scenarios regarding the composition of the company's debt and equity. It will be seen whether the change in the composition will affect the value of the company or not.</w:t>
      </w:r>
    </w:p>
    <w:p w:rsidR="00642728" w:rsidRDefault="00642728" w:rsidP="00F525EF">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642728" w:rsidRDefault="00A30734" w:rsidP="00D80741">
      <w:pPr>
        <w:widowControl w:val="0"/>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Altman Z-Score</w:t>
      </w:r>
    </w:p>
    <w:p w:rsidR="00642728" w:rsidRPr="00D80741" w:rsidRDefault="00A30734" w:rsidP="00D8074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Maximizing company value is not always just by increasing the company's profit or simply by increasing the company's stock price. When linked with the capital structure theory, Ross et al. (2010) stated that if management's goal is to make the company have maximum value, then the company must choose a debt to equity ratio that can make the company value as high as possible. To see this, the way to do this is to create several scenarios regarding the composition of the company's debt and equity. It will be seen whether the change in the composition will affect the value of the company or not.</w:t>
      </w:r>
      <w:r w:rsidR="00D80741">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Altman developed the following MDA model research in 1984 by incorporating an international dimension that changed the Z-score formulation. </w:t>
      </w:r>
      <w:proofErr w:type="spellStart"/>
      <w:r>
        <w:rPr>
          <w:rFonts w:ascii="Times New Roman" w:eastAsia="Times New Roman" w:hAnsi="Times New Roman" w:cs="Times New Roman"/>
          <w:color w:val="000000"/>
          <w:sz w:val="24"/>
          <w:szCs w:val="24"/>
        </w:rPr>
        <w:t>Nedzveckas</w:t>
      </w:r>
      <w:proofErr w:type="spellEnd"/>
      <w:r>
        <w:rPr>
          <w:rFonts w:ascii="Times New Roman" w:eastAsia="Times New Roman" w:hAnsi="Times New Roman" w:cs="Times New Roman"/>
          <w:color w:val="000000"/>
          <w:sz w:val="24"/>
          <w:szCs w:val="24"/>
        </w:rPr>
        <w:t xml:space="preserve"> et al. (2004) used several MDA models (Altman Model, </w:t>
      </w:r>
      <w:proofErr w:type="spellStart"/>
      <w:r>
        <w:rPr>
          <w:rFonts w:ascii="Times New Roman" w:eastAsia="Times New Roman" w:hAnsi="Times New Roman" w:cs="Times New Roman"/>
          <w:color w:val="000000"/>
          <w:sz w:val="24"/>
          <w:szCs w:val="24"/>
        </w:rPr>
        <w:t>Springate</w:t>
      </w:r>
      <w:proofErr w:type="spellEnd"/>
      <w:r>
        <w:rPr>
          <w:rFonts w:ascii="Times New Roman" w:eastAsia="Times New Roman" w:hAnsi="Times New Roman" w:cs="Times New Roman"/>
          <w:color w:val="000000"/>
          <w:sz w:val="24"/>
          <w:szCs w:val="24"/>
        </w:rPr>
        <w:t xml:space="preserve"> model) to predict bankruptcy in the Lithuanian market with a sample of the 45 largest Lithuanian manufacturing companies; the results indicated that all of these MDA models were not suitable to be applied to the Lithuanian market because they provided a low level of accuracy </w:t>
      </w:r>
      <w:proofErr w:type="gramStart"/>
      <w:r>
        <w:rPr>
          <w:rFonts w:ascii="Times New Roman" w:eastAsia="Times New Roman" w:hAnsi="Times New Roman" w:cs="Times New Roman"/>
          <w:color w:val="000000"/>
          <w:sz w:val="24"/>
          <w:szCs w:val="24"/>
        </w:rPr>
        <w:t>( 64.6</w:t>
      </w:r>
      <w:proofErr w:type="gramEnd"/>
      <w:r>
        <w:rPr>
          <w:rFonts w:ascii="Times New Roman" w:eastAsia="Times New Roman" w:hAnsi="Times New Roman" w:cs="Times New Roman"/>
          <w:color w:val="000000"/>
          <w:sz w:val="24"/>
          <w:szCs w:val="24"/>
        </w:rPr>
        <w:t xml:space="preserve">% for the Altman Model and 61.0% for the </w:t>
      </w:r>
      <w:proofErr w:type="spellStart"/>
      <w:r>
        <w:rPr>
          <w:rFonts w:ascii="Times New Roman" w:eastAsia="Times New Roman" w:hAnsi="Times New Roman" w:cs="Times New Roman"/>
          <w:color w:val="000000"/>
          <w:sz w:val="24"/>
          <w:szCs w:val="24"/>
        </w:rPr>
        <w:t>Springate</w:t>
      </w:r>
      <w:proofErr w:type="spellEnd"/>
      <w:r>
        <w:rPr>
          <w:rFonts w:ascii="Times New Roman" w:eastAsia="Times New Roman" w:hAnsi="Times New Roman" w:cs="Times New Roman"/>
          <w:color w:val="000000"/>
          <w:sz w:val="24"/>
          <w:szCs w:val="24"/>
        </w:rPr>
        <w:t xml:space="preserve"> Model). Therefore a more predictive model is needed, which is more suitable for the Lithuanian market. The Altman MDA model in Indonesia, among others, was carried out by </w:t>
      </w:r>
      <w:proofErr w:type="spellStart"/>
      <w:r>
        <w:rPr>
          <w:rFonts w:ascii="Times New Roman" w:eastAsia="Times New Roman" w:hAnsi="Times New Roman" w:cs="Times New Roman"/>
          <w:color w:val="000000"/>
          <w:sz w:val="24"/>
          <w:szCs w:val="24"/>
        </w:rPr>
        <w:t>Sarjono</w:t>
      </w:r>
      <w:proofErr w:type="spellEnd"/>
      <w:r>
        <w:rPr>
          <w:rFonts w:ascii="Times New Roman" w:eastAsia="Times New Roman" w:hAnsi="Times New Roman" w:cs="Times New Roman"/>
          <w:color w:val="000000"/>
          <w:sz w:val="24"/>
          <w:szCs w:val="24"/>
        </w:rPr>
        <w:t xml:space="preserve"> (2007) at a property company in Indonesia, Angelina (2004), who predicted bank failures which are 89% prediction accuracy in the one year before the collapse</w:t>
      </w:r>
      <w:proofErr w:type="gramStart"/>
      <w:r>
        <w:rPr>
          <w:rFonts w:ascii="Times New Roman" w:eastAsia="Times New Roman" w:hAnsi="Times New Roman" w:cs="Times New Roman"/>
          <w:color w:val="000000"/>
          <w:sz w:val="24"/>
          <w:szCs w:val="24"/>
        </w:rPr>
        <w:t>,  and</w:t>
      </w:r>
      <w:proofErr w:type="gramEnd"/>
      <w:r>
        <w:rPr>
          <w:rFonts w:ascii="Times New Roman" w:eastAsia="Times New Roman" w:hAnsi="Times New Roman" w:cs="Times New Roman"/>
          <w:color w:val="000000"/>
          <w:sz w:val="24"/>
          <w:szCs w:val="24"/>
        </w:rPr>
        <w:t xml:space="preserve"> 91% prediction accuracy in the two years before the firm's failure.</w:t>
      </w:r>
    </w:p>
    <w:p w:rsidR="00D80741" w:rsidRPr="00D80741" w:rsidRDefault="00D80741" w:rsidP="00D8074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p>
    <w:p w:rsidR="00642728" w:rsidRDefault="00A30734" w:rsidP="00D80741">
      <w:pPr>
        <w:widowControl w:val="0"/>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Optimal of Capital Structure</w:t>
      </w:r>
    </w:p>
    <w:p w:rsidR="00642728" w:rsidRDefault="00A30734" w:rsidP="00D8074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D80741">
        <w:rPr>
          <w:rFonts w:ascii="Times New Roman" w:eastAsia="Times New Roman" w:hAnsi="Times New Roman" w:cs="Times New Roman"/>
          <w:color w:val="000000"/>
          <w:sz w:val="24"/>
          <w:szCs w:val="24"/>
        </w:rPr>
        <w:t xml:space="preserve">ccording to </w:t>
      </w:r>
      <w:proofErr w:type="spellStart"/>
      <w:r w:rsidR="00D80741">
        <w:rPr>
          <w:rFonts w:ascii="Times New Roman" w:eastAsia="Times New Roman" w:hAnsi="Times New Roman" w:cs="Times New Roman"/>
          <w:color w:val="000000"/>
          <w:sz w:val="24"/>
          <w:szCs w:val="24"/>
        </w:rPr>
        <w:t>Margaretha</w:t>
      </w:r>
      <w:proofErr w:type="spellEnd"/>
      <w:r w:rsidR="00D80741">
        <w:rPr>
          <w:rFonts w:ascii="Times New Roman" w:eastAsia="Times New Roman" w:hAnsi="Times New Roman" w:cs="Times New Roman"/>
          <w:color w:val="000000"/>
          <w:sz w:val="24"/>
          <w:szCs w:val="24"/>
        </w:rPr>
        <w:t xml:space="preserve"> (2011</w:t>
      </w:r>
      <w:r>
        <w:rPr>
          <w:rFonts w:ascii="Times New Roman" w:eastAsia="Times New Roman" w:hAnsi="Times New Roman" w:cs="Times New Roman"/>
          <w:color w:val="000000"/>
          <w:sz w:val="24"/>
          <w:szCs w:val="24"/>
        </w:rPr>
        <w:t>), "The optimal capital structure is a condition where the WACC is minimized; therefore, it will maximize firm value." The optimal capital structure can also be interpreted as a capital structure that can minimize the weighted average cost of capital. The weighted average cost of capital (WACC) is the weighted average cost of the components of debt, preferred stock, and common equi</w:t>
      </w:r>
      <w:r w:rsidR="00D80741">
        <w:rPr>
          <w:rFonts w:ascii="Times New Roman" w:eastAsia="Times New Roman" w:hAnsi="Times New Roman" w:cs="Times New Roman"/>
          <w:color w:val="000000"/>
          <w:sz w:val="24"/>
          <w:szCs w:val="24"/>
        </w:rPr>
        <w:t>ty (Brigham and Houston, 2011</w:t>
      </w:r>
      <w:r>
        <w:rPr>
          <w:rFonts w:ascii="Times New Roman" w:eastAsia="Times New Roman" w:hAnsi="Times New Roman" w:cs="Times New Roman"/>
          <w:color w:val="000000"/>
          <w:sz w:val="24"/>
          <w:szCs w:val="24"/>
        </w:rPr>
        <w:t>). Therefore, the smaller the weighted average cost of capital (WACC) will maximize profits and affect the company's high value.</w:t>
      </w:r>
    </w:p>
    <w:p w:rsidR="00D80741" w:rsidRDefault="00D80741" w:rsidP="00D8074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p>
    <w:p w:rsidR="00642728" w:rsidRDefault="00A30734" w:rsidP="00D80741">
      <w:pPr>
        <w:widowControl w:val="0"/>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SWOT</w:t>
      </w:r>
    </w:p>
    <w:p w:rsidR="00642728" w:rsidRDefault="00A30734" w:rsidP="00D80741">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definition of a SWOT analysis is the process of systematically </w:t>
      </w:r>
      <w:proofErr w:type="gramStart"/>
      <w:r>
        <w:rPr>
          <w:rFonts w:ascii="Times New Roman" w:eastAsia="Times New Roman" w:hAnsi="Times New Roman" w:cs="Times New Roman"/>
          <w:color w:val="000000"/>
          <w:sz w:val="24"/>
          <w:szCs w:val="24"/>
        </w:rPr>
        <w:t>identifying</w:t>
      </w:r>
      <w:proofErr w:type="gramEnd"/>
      <w:r>
        <w:rPr>
          <w:rFonts w:ascii="Times New Roman" w:eastAsia="Times New Roman" w:hAnsi="Times New Roman" w:cs="Times New Roman"/>
          <w:color w:val="000000"/>
          <w:sz w:val="24"/>
          <w:szCs w:val="24"/>
        </w:rPr>
        <w:t xml:space="preserve"> various factors to determine the correct formulation and carry out the best corporate strategy. This analysis is based on the logic that maximizes strengths and opportunities but simultaneously minimizes weaknesses and threats. The process of making corporate strategic decisions is always closely related to the development of the company's vision, mission, goals, strategies, and policies. </w:t>
      </w:r>
      <w:r>
        <w:rPr>
          <w:rFonts w:ascii="Times New Roman" w:eastAsia="Times New Roman" w:hAnsi="Times New Roman" w:cs="Times New Roman"/>
          <w:color w:val="000000"/>
          <w:sz w:val="24"/>
          <w:szCs w:val="24"/>
        </w:rPr>
        <w:lastRenderedPageBreak/>
        <w:t xml:space="preserve">Therefore, strategic planning requires an analysis of each of these SWOTs (strengths, weaknesses, opportunities, and threats) in today's corporate environment (Freddy </w:t>
      </w:r>
      <w:proofErr w:type="spellStart"/>
      <w:r>
        <w:rPr>
          <w:rFonts w:ascii="Times New Roman" w:eastAsia="Times New Roman" w:hAnsi="Times New Roman" w:cs="Times New Roman"/>
          <w:color w:val="000000"/>
          <w:sz w:val="24"/>
          <w:szCs w:val="24"/>
        </w:rPr>
        <w:t>Rangkuti</w:t>
      </w:r>
      <w:proofErr w:type="spellEnd"/>
      <w:r>
        <w:rPr>
          <w:rFonts w:ascii="Times New Roman" w:eastAsia="Times New Roman" w:hAnsi="Times New Roman" w:cs="Times New Roman"/>
          <w:color w:val="000000"/>
          <w:sz w:val="24"/>
          <w:szCs w:val="24"/>
        </w:rPr>
        <w:t>, 2009: 18).</w:t>
      </w:r>
    </w:p>
    <w:p w:rsidR="00642728" w:rsidRDefault="00642728" w:rsidP="00F525EF">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642728" w:rsidRPr="00CB7CC8" w:rsidRDefault="00A30734" w:rsidP="00CB7CC8">
      <w:pPr>
        <w:pStyle w:val="ListParagraph"/>
        <w:numPr>
          <w:ilvl w:val="0"/>
          <w:numId w:val="2"/>
        </w:numPr>
        <w:spacing w:after="0" w:line="240" w:lineRule="auto"/>
        <w:ind w:hanging="720"/>
        <w:rPr>
          <w:rFonts w:ascii="Times New Roman" w:eastAsia="Times New Roman" w:hAnsi="Times New Roman" w:cs="Times New Roman"/>
          <w:b/>
          <w:sz w:val="24"/>
          <w:szCs w:val="24"/>
        </w:rPr>
      </w:pPr>
      <w:r w:rsidRPr="00CB7CC8">
        <w:rPr>
          <w:rFonts w:ascii="Times New Roman" w:eastAsia="Times New Roman" w:hAnsi="Times New Roman" w:cs="Times New Roman"/>
          <w:b/>
          <w:sz w:val="24"/>
          <w:szCs w:val="24"/>
        </w:rPr>
        <w:t>RESEARCH METHOD</w:t>
      </w:r>
    </w:p>
    <w:p w:rsidR="00642728" w:rsidRDefault="00A30734" w:rsidP="00CB7CC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Methods of data analysis in this study using quantitative descriptive statistical methods. The quantitative research method is one type of research whose specifications are systematic, well-planned, and structured from the start to the research design.</w:t>
      </w:r>
      <w:r w:rsidR="00CB7CC8">
        <w:rPr>
          <w:rFonts w:ascii="Times New Roman" w:eastAsia="Times New Roman" w:hAnsi="Times New Roman" w:cs="Times New Roman"/>
          <w:sz w:val="24"/>
          <w:szCs w:val="24"/>
        </w:rPr>
        <w:t xml:space="preserve"> According to </w:t>
      </w:r>
      <w:proofErr w:type="spellStart"/>
      <w:r w:rsidR="00CB7CC8">
        <w:rPr>
          <w:rFonts w:ascii="Times New Roman" w:eastAsia="Times New Roman" w:hAnsi="Times New Roman" w:cs="Times New Roman"/>
          <w:sz w:val="24"/>
          <w:szCs w:val="24"/>
        </w:rPr>
        <w:t>Sugiyono</w:t>
      </w:r>
      <w:proofErr w:type="spellEnd"/>
      <w:r w:rsidR="00CB7CC8">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quantitative research methods can be interpreted as research methods based on positivism philosophy, used to research on specific populations or samples, sampling techniques are generally carried out randomly, data collection uses research instruments, data analysis is quantitative / statistics to determine the optimal capital structure formation strategy. The data analysis method in this study uses a quantitative approach by analyzing the numbers of research data using formulas from theories related to the research theme to answer the problem f</w:t>
      </w:r>
      <w:r w:rsidR="00CB7CC8">
        <w:rPr>
          <w:rFonts w:ascii="Times New Roman" w:eastAsia="Times New Roman" w:hAnsi="Times New Roman" w:cs="Times New Roman"/>
          <w:sz w:val="24"/>
          <w:szCs w:val="24"/>
        </w:rPr>
        <w:t>ormulation</w:t>
      </w:r>
      <w:r>
        <w:rPr>
          <w:rFonts w:ascii="Times New Roman" w:eastAsia="Times New Roman" w:hAnsi="Times New Roman" w:cs="Times New Roman"/>
          <w:sz w:val="24"/>
          <w:szCs w:val="24"/>
        </w:rPr>
        <w:t xml:space="preserve">. </w:t>
      </w:r>
    </w:p>
    <w:p w:rsidR="00642728" w:rsidRDefault="00A30734" w:rsidP="00DA5579">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The following are the stag</w:t>
      </w:r>
      <w:r w:rsidR="00DA5579">
        <w:rPr>
          <w:rFonts w:ascii="Times New Roman" w:eastAsia="Times New Roman" w:hAnsi="Times New Roman" w:cs="Times New Roman"/>
          <w:sz w:val="24"/>
          <w:szCs w:val="24"/>
        </w:rPr>
        <w:t>es of analysis in this research</w:t>
      </w:r>
      <w:r w:rsidR="00DA5579">
        <w:rPr>
          <w:rFonts w:ascii="Times New Roman" w:eastAsia="Times New Roman" w:hAnsi="Times New Roman" w:cs="Times New Roman"/>
          <w:sz w:val="24"/>
          <w:szCs w:val="24"/>
          <w:lang w:val="id-ID"/>
        </w:rPr>
        <w:t xml:space="preserve"> are the a</w:t>
      </w:r>
      <w:proofErr w:type="spellStart"/>
      <w:r>
        <w:rPr>
          <w:rFonts w:ascii="Times New Roman" w:eastAsia="Times New Roman" w:hAnsi="Times New Roman" w:cs="Times New Roman"/>
          <w:sz w:val="24"/>
          <w:szCs w:val="24"/>
        </w:rPr>
        <w:t>nalyzing</w:t>
      </w:r>
      <w:proofErr w:type="spellEnd"/>
      <w:r>
        <w:rPr>
          <w:rFonts w:ascii="Times New Roman" w:eastAsia="Times New Roman" w:hAnsi="Times New Roman" w:cs="Times New Roman"/>
          <w:sz w:val="24"/>
          <w:szCs w:val="24"/>
        </w:rPr>
        <w:t xml:space="preserve"> the financial performance of the pharmaceutical sub-sector companies during the study period.</w:t>
      </w:r>
      <w:r w:rsidR="00DA5579">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Analyze the composition of the existing capital structure in pharmaceutical sub-sector companies during the research period.</w:t>
      </w:r>
      <w:r w:rsidR="00DA5579">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rPr>
        <w:t>Analyzing the financial condition of pharmaceutical sub-sector companies using the Altman Z-Score.</w:t>
      </w:r>
      <w:proofErr w:type="gramEnd"/>
      <w:r w:rsidR="00DA5579">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Analyze the value of the pharmaceutical sub-sector company to find the maximum value using the Modigliani Miller approach without debt and with debt.</w:t>
      </w:r>
      <w:r w:rsidR="00DA5579">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rPr>
        <w:t>Analyzing the weighted average cost of capital (Weighted Average Cost of Capital) to find the lowest cost using without financial distress and with financial distress.</w:t>
      </w:r>
      <w:proofErr w:type="gramEnd"/>
      <w:r w:rsidR="00DA5579">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Analyze the company's capital structure during the research period in the pharmaceutical sub-sector company based on firm value and cost of capital to determine the optimal capital structure composition to increase firm value.</w:t>
      </w:r>
      <w:r w:rsidR="00DA5579">
        <w:rPr>
          <w:rFonts w:ascii="Times New Roman" w:eastAsia="Times New Roman" w:hAnsi="Times New Roman" w:cs="Times New Roman"/>
          <w:sz w:val="24"/>
          <w:szCs w:val="24"/>
          <w:lang w:val="id-ID"/>
        </w:rPr>
        <w:t xml:space="preserve"> And d</w:t>
      </w:r>
      <w:proofErr w:type="spellStart"/>
      <w:r>
        <w:rPr>
          <w:rFonts w:ascii="Times New Roman" w:eastAsia="Times New Roman" w:hAnsi="Times New Roman" w:cs="Times New Roman"/>
          <w:sz w:val="24"/>
          <w:szCs w:val="24"/>
        </w:rPr>
        <w:t>etermining</w:t>
      </w:r>
      <w:proofErr w:type="spellEnd"/>
      <w:r>
        <w:rPr>
          <w:rFonts w:ascii="Times New Roman" w:eastAsia="Times New Roman" w:hAnsi="Times New Roman" w:cs="Times New Roman"/>
          <w:sz w:val="24"/>
          <w:szCs w:val="24"/>
        </w:rPr>
        <w:t xml:space="preserve"> alternative strategies using the TOWS matrix.</w:t>
      </w:r>
    </w:p>
    <w:p w:rsidR="00DA5579" w:rsidRPr="00DA5579" w:rsidRDefault="00DA5579" w:rsidP="00DA5579">
      <w:pPr>
        <w:spacing w:after="0" w:line="240" w:lineRule="auto"/>
        <w:jc w:val="both"/>
        <w:rPr>
          <w:rFonts w:ascii="Times New Roman" w:eastAsia="Times New Roman" w:hAnsi="Times New Roman" w:cs="Times New Roman"/>
          <w:sz w:val="24"/>
          <w:szCs w:val="24"/>
          <w:lang w:val="id-ID"/>
        </w:rPr>
      </w:pPr>
    </w:p>
    <w:p w:rsidR="00642728" w:rsidRPr="00DA5579" w:rsidRDefault="00A30734" w:rsidP="00DA5579">
      <w:pPr>
        <w:pStyle w:val="ListParagraph"/>
        <w:widowControl w:val="0"/>
        <w:numPr>
          <w:ilvl w:val="0"/>
          <w:numId w:val="2"/>
        </w:numPr>
        <w:pBdr>
          <w:top w:val="nil"/>
          <w:left w:val="nil"/>
          <w:bottom w:val="nil"/>
          <w:right w:val="nil"/>
          <w:between w:val="nil"/>
        </w:pBdr>
        <w:spacing w:after="0" w:line="240" w:lineRule="auto"/>
        <w:ind w:hanging="720"/>
        <w:rPr>
          <w:rFonts w:ascii="Times New Roman" w:eastAsia="Times New Roman" w:hAnsi="Times New Roman" w:cs="Times New Roman"/>
          <w:b/>
          <w:color w:val="000000"/>
          <w:sz w:val="24"/>
          <w:szCs w:val="24"/>
          <w:lang w:val="id-ID"/>
        </w:rPr>
      </w:pPr>
      <w:r w:rsidRPr="00DA5579">
        <w:rPr>
          <w:rFonts w:ascii="Times New Roman" w:eastAsia="Times New Roman" w:hAnsi="Times New Roman" w:cs="Times New Roman"/>
          <w:b/>
          <w:color w:val="000000"/>
          <w:sz w:val="24"/>
          <w:szCs w:val="24"/>
        </w:rPr>
        <w:t>RESULTS and DISCUSSION</w:t>
      </w:r>
    </w:p>
    <w:p w:rsidR="00DA5579" w:rsidRPr="00DA5579" w:rsidRDefault="00DA5579" w:rsidP="00DA5579">
      <w:pPr>
        <w:pStyle w:val="ListParagraph"/>
        <w:widowControl w:val="0"/>
        <w:pBdr>
          <w:top w:val="nil"/>
          <w:left w:val="nil"/>
          <w:bottom w:val="nil"/>
          <w:right w:val="nil"/>
          <w:between w:val="nil"/>
        </w:pBdr>
        <w:spacing w:after="0" w:line="240" w:lineRule="auto"/>
        <w:ind w:hanging="720"/>
        <w:rPr>
          <w:rFonts w:ascii="Times New Roman" w:eastAsia="Times New Roman" w:hAnsi="Times New Roman" w:cs="Times New Roman"/>
          <w:b/>
          <w:color w:val="000000"/>
          <w:sz w:val="24"/>
          <w:szCs w:val="24"/>
          <w:lang w:val="id-ID"/>
        </w:rPr>
      </w:pPr>
    </w:p>
    <w:p w:rsidR="00642728" w:rsidRDefault="00A30734" w:rsidP="00DA5579">
      <w:pPr>
        <w:widowControl w:val="0"/>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Financial Performance of Pharmaceutical Sub-Sector Companies in 2014-2019</w:t>
      </w:r>
    </w:p>
    <w:p w:rsidR="00642728" w:rsidRDefault="00A30734" w:rsidP="00DA5579">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many as nine pharmaceutical sub-sector companies studied by researchers, the development of sales and operating profit (EBIT) of pharmaceutical sub-sector companies during 2014 - 2019, as many as nine pharmaceutical sub-sector companies studied by researchers, found the sales volume and profit (EBIT) companies moving non-consistent. Several companies have experienced an increase in sales, but their operating profit has decreased; this s</w:t>
      </w:r>
      <w:r w:rsidR="00DA5579">
        <w:rPr>
          <w:rFonts w:ascii="Times New Roman" w:eastAsia="Times New Roman" w:hAnsi="Times New Roman" w:cs="Times New Roman"/>
          <w:color w:val="000000"/>
          <w:sz w:val="24"/>
          <w:szCs w:val="24"/>
        </w:rPr>
        <w:t>hows its high operational costs</w:t>
      </w:r>
      <w:r w:rsidR="00DA5579">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The average ROE in pharmaceutical sub-sector companies is fluctuating. A good ROE is above the average of its peers. In general, high ROE is influenced by a high increase in profit (Earning </w:t>
      </w:r>
      <w:proofErr w:type="gramStart"/>
      <w:r>
        <w:rPr>
          <w:rFonts w:ascii="Times New Roman" w:eastAsia="Times New Roman" w:hAnsi="Times New Roman" w:cs="Times New Roman"/>
          <w:color w:val="000000"/>
          <w:sz w:val="24"/>
          <w:szCs w:val="24"/>
        </w:rPr>
        <w:t>After</w:t>
      </w:r>
      <w:proofErr w:type="gramEnd"/>
      <w:r>
        <w:rPr>
          <w:rFonts w:ascii="Times New Roman" w:eastAsia="Times New Roman" w:hAnsi="Times New Roman" w:cs="Times New Roman"/>
          <w:color w:val="000000"/>
          <w:sz w:val="24"/>
          <w:szCs w:val="24"/>
        </w:rPr>
        <w:t xml:space="preserve"> Tax), and a low ROE is caused by a decrease in profit (Earning After Tax). The profitability of pharmaceutical sub-sector companies is still much below average, and the gap is very high. Some companies have a negative ROE value because </w:t>
      </w:r>
      <w:r>
        <w:rPr>
          <w:rFonts w:ascii="Times New Roman" w:eastAsia="Times New Roman" w:hAnsi="Times New Roman" w:cs="Times New Roman"/>
          <w:color w:val="000000"/>
          <w:sz w:val="24"/>
          <w:szCs w:val="24"/>
        </w:rPr>
        <w:lastRenderedPageBreak/>
        <w:t>they experience a loss or minus profit after tax.</w:t>
      </w:r>
    </w:p>
    <w:p w:rsidR="00642728" w:rsidRDefault="00A30734" w:rsidP="00F525E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of these indicated that the pharmaceutical sub-sector companies were able to pay dividends. Some companies do not pay dividends because they experience minimal losses or profits.</w:t>
      </w:r>
    </w:p>
    <w:p w:rsidR="00642728" w:rsidRDefault="00642728" w:rsidP="00F525EF">
      <w:pPr>
        <w:widowControl w:val="0"/>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p>
    <w:p w:rsidR="00642728" w:rsidRDefault="00A30734" w:rsidP="00DA5579">
      <w:pPr>
        <w:widowControl w:val="0"/>
        <w:pBdr>
          <w:top w:val="nil"/>
          <w:left w:val="nil"/>
          <w:bottom w:val="nil"/>
          <w:right w:val="nil"/>
          <w:between w:val="nil"/>
        </w:pBdr>
        <w:tabs>
          <w:tab w:val="left" w:pos="709"/>
        </w:tabs>
        <w:spacing w:after="120" w:line="240" w:lineRule="auto"/>
        <w:ind w:left="358" w:hanging="4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Capital Structure of Pharmaceutical Sub Sector Companies</w:t>
      </w:r>
    </w:p>
    <w:p w:rsidR="00642728" w:rsidRPr="00DA5579" w:rsidRDefault="00DA5579" w:rsidP="00DA5579">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Table</w:t>
      </w:r>
      <w:r>
        <w:rPr>
          <w:rFonts w:ascii="Times New Roman" w:eastAsia="Times New Roman" w:hAnsi="Times New Roman" w:cs="Times New Roman"/>
          <w:i/>
          <w:color w:val="000000"/>
          <w:lang w:val="id-ID"/>
        </w:rPr>
        <w:t xml:space="preserve">2. </w:t>
      </w:r>
      <w:r w:rsidR="00A30734" w:rsidRPr="00DA5579">
        <w:rPr>
          <w:rFonts w:ascii="Times New Roman" w:eastAsia="Times New Roman" w:hAnsi="Times New Roman" w:cs="Times New Roman"/>
          <w:i/>
          <w:color w:val="000000"/>
        </w:rPr>
        <w:t>The Capital Structure of Companies in the Pharmaceutical Sub-Sector, 2014 - 2019</w:t>
      </w:r>
    </w:p>
    <w:tbl>
      <w:tblPr>
        <w:tblStyle w:val="a0"/>
        <w:tblW w:w="9102" w:type="dxa"/>
        <w:jc w:val="center"/>
        <w:tblBorders>
          <w:top w:val="single" w:sz="4" w:space="0" w:color="auto"/>
          <w:bottom w:val="single" w:sz="4" w:space="0" w:color="auto"/>
        </w:tblBorders>
        <w:tblLayout w:type="fixed"/>
        <w:tblLook w:val="0400" w:firstRow="0" w:lastRow="0" w:firstColumn="0" w:lastColumn="0" w:noHBand="0" w:noVBand="1"/>
      </w:tblPr>
      <w:tblGrid>
        <w:gridCol w:w="1300"/>
        <w:gridCol w:w="924"/>
        <w:gridCol w:w="980"/>
        <w:gridCol w:w="755"/>
        <w:gridCol w:w="1360"/>
        <w:gridCol w:w="761"/>
        <w:gridCol w:w="761"/>
        <w:gridCol w:w="1500"/>
        <w:gridCol w:w="761"/>
      </w:tblGrid>
      <w:tr w:rsidR="00642728" w:rsidRPr="00DA5579" w:rsidTr="00DA5579">
        <w:trPr>
          <w:trHeight w:val="300"/>
          <w:jc w:val="center"/>
        </w:trPr>
        <w:tc>
          <w:tcPr>
            <w:tcW w:w="1300" w:type="dxa"/>
            <w:vMerge w:val="restart"/>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Companies</w:t>
            </w:r>
          </w:p>
        </w:tc>
        <w:tc>
          <w:tcPr>
            <w:tcW w:w="1904" w:type="dxa"/>
            <w:gridSpan w:val="2"/>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Liabilities</w:t>
            </w:r>
          </w:p>
        </w:tc>
        <w:tc>
          <w:tcPr>
            <w:tcW w:w="755" w:type="dxa"/>
            <w:vMerge w:val="restart"/>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Equity</w:t>
            </w:r>
          </w:p>
        </w:tc>
        <w:tc>
          <w:tcPr>
            <w:tcW w:w="1360" w:type="dxa"/>
            <w:vMerge w:val="restart"/>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 xml:space="preserve">Capital </w:t>
            </w:r>
            <w:proofErr w:type="spellStart"/>
            <w:r w:rsidRPr="00DA5579">
              <w:rPr>
                <w:rFonts w:ascii="Times New Roman" w:hAnsi="Times New Roman" w:cs="Times New Roman"/>
                <w:b/>
                <w:color w:val="000000"/>
                <w:sz w:val="20"/>
                <w:szCs w:val="20"/>
              </w:rPr>
              <w:t>Struture</w:t>
            </w:r>
            <w:proofErr w:type="spellEnd"/>
          </w:p>
        </w:tc>
        <w:tc>
          <w:tcPr>
            <w:tcW w:w="1522" w:type="dxa"/>
            <w:gridSpan w:val="2"/>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Percentage</w:t>
            </w:r>
          </w:p>
        </w:tc>
        <w:tc>
          <w:tcPr>
            <w:tcW w:w="1500" w:type="dxa"/>
            <w:vMerge w:val="restart"/>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Value of The Firm</w:t>
            </w:r>
          </w:p>
        </w:tc>
        <w:tc>
          <w:tcPr>
            <w:tcW w:w="761" w:type="dxa"/>
            <w:vMerge w:val="restart"/>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WACC</w:t>
            </w:r>
          </w:p>
        </w:tc>
      </w:tr>
      <w:tr w:rsidR="00642728" w:rsidRPr="00DA5579" w:rsidTr="00DA5579">
        <w:trPr>
          <w:trHeight w:val="480"/>
          <w:jc w:val="center"/>
        </w:trPr>
        <w:tc>
          <w:tcPr>
            <w:tcW w:w="1300" w:type="dxa"/>
            <w:vMerge/>
            <w:tcBorders>
              <w:bottom w:val="single" w:sz="4" w:space="0" w:color="auto"/>
            </w:tcBorders>
            <w:shd w:val="clear" w:color="auto" w:fill="auto"/>
            <w:vAlign w:val="center"/>
          </w:tcPr>
          <w:p w:rsidR="00642728" w:rsidRPr="00DA5579" w:rsidRDefault="00642728" w:rsidP="00F525EF">
            <w:pPr>
              <w:widowControl w:val="0"/>
              <w:pBdr>
                <w:top w:val="nil"/>
                <w:left w:val="nil"/>
                <w:bottom w:val="nil"/>
                <w:right w:val="nil"/>
                <w:between w:val="nil"/>
              </w:pBdr>
              <w:spacing w:after="0" w:line="240" w:lineRule="auto"/>
              <w:rPr>
                <w:rFonts w:ascii="Times New Roman" w:hAnsi="Times New Roman" w:cs="Times New Roman"/>
                <w:b/>
                <w:color w:val="000000"/>
                <w:sz w:val="20"/>
                <w:szCs w:val="20"/>
              </w:rPr>
            </w:pPr>
          </w:p>
        </w:tc>
        <w:tc>
          <w:tcPr>
            <w:tcW w:w="924" w:type="dxa"/>
            <w:tcBorders>
              <w:bottom w:val="single" w:sz="4" w:space="0" w:color="auto"/>
            </w:tcBorders>
            <w:shd w:val="clear" w:color="auto" w:fill="auto"/>
            <w:vAlign w:val="center"/>
          </w:tcPr>
          <w:p w:rsidR="00642728" w:rsidRPr="00DA5579" w:rsidRDefault="00A30734" w:rsidP="00F525EF">
            <w:pPr>
              <w:spacing w:line="240" w:lineRule="auto"/>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Current Liabilities</w:t>
            </w:r>
          </w:p>
        </w:tc>
        <w:tc>
          <w:tcPr>
            <w:tcW w:w="980" w:type="dxa"/>
            <w:tcBorders>
              <w:bottom w:val="single" w:sz="4" w:space="0" w:color="auto"/>
            </w:tcBorders>
            <w:shd w:val="clear" w:color="auto" w:fill="auto"/>
            <w:vAlign w:val="center"/>
          </w:tcPr>
          <w:p w:rsidR="00642728" w:rsidRPr="00DA5579" w:rsidRDefault="00A30734" w:rsidP="00F525EF">
            <w:pPr>
              <w:spacing w:line="240" w:lineRule="auto"/>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Long Term Liabilities</w:t>
            </w:r>
          </w:p>
        </w:tc>
        <w:tc>
          <w:tcPr>
            <w:tcW w:w="755" w:type="dxa"/>
            <w:vMerge/>
            <w:tcBorders>
              <w:bottom w:val="single" w:sz="4" w:space="0" w:color="auto"/>
            </w:tcBorders>
            <w:shd w:val="clear" w:color="auto" w:fill="auto"/>
            <w:vAlign w:val="center"/>
          </w:tcPr>
          <w:p w:rsidR="00642728" w:rsidRPr="00DA5579" w:rsidRDefault="00642728" w:rsidP="00F525EF">
            <w:pPr>
              <w:widowControl w:val="0"/>
              <w:pBdr>
                <w:top w:val="nil"/>
                <w:left w:val="nil"/>
                <w:bottom w:val="nil"/>
                <w:right w:val="nil"/>
                <w:between w:val="nil"/>
              </w:pBdr>
              <w:spacing w:after="0" w:line="240" w:lineRule="auto"/>
              <w:rPr>
                <w:rFonts w:ascii="Times New Roman" w:hAnsi="Times New Roman" w:cs="Times New Roman"/>
                <w:b/>
                <w:color w:val="000000"/>
                <w:sz w:val="20"/>
                <w:szCs w:val="20"/>
              </w:rPr>
            </w:pPr>
          </w:p>
        </w:tc>
        <w:tc>
          <w:tcPr>
            <w:tcW w:w="1360" w:type="dxa"/>
            <w:vMerge/>
            <w:tcBorders>
              <w:bottom w:val="single" w:sz="4" w:space="0" w:color="auto"/>
            </w:tcBorders>
            <w:shd w:val="clear" w:color="auto" w:fill="auto"/>
            <w:vAlign w:val="center"/>
          </w:tcPr>
          <w:p w:rsidR="00642728" w:rsidRPr="00DA5579" w:rsidRDefault="00642728" w:rsidP="00F525EF">
            <w:pPr>
              <w:widowControl w:val="0"/>
              <w:pBdr>
                <w:top w:val="nil"/>
                <w:left w:val="nil"/>
                <w:bottom w:val="nil"/>
                <w:right w:val="nil"/>
                <w:between w:val="nil"/>
              </w:pBdr>
              <w:spacing w:after="0" w:line="240" w:lineRule="auto"/>
              <w:rPr>
                <w:rFonts w:ascii="Times New Roman" w:hAnsi="Times New Roman" w:cs="Times New Roman"/>
                <w:b/>
                <w:color w:val="000000"/>
                <w:sz w:val="20"/>
                <w:szCs w:val="20"/>
              </w:rPr>
            </w:pPr>
          </w:p>
        </w:tc>
        <w:tc>
          <w:tcPr>
            <w:tcW w:w="761" w:type="dxa"/>
            <w:tcBorders>
              <w:bottom w:val="single" w:sz="4" w:space="0" w:color="auto"/>
            </w:tcBorders>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Debt</w:t>
            </w:r>
          </w:p>
        </w:tc>
        <w:tc>
          <w:tcPr>
            <w:tcW w:w="761" w:type="dxa"/>
            <w:tcBorders>
              <w:bottom w:val="single" w:sz="4" w:space="0" w:color="auto"/>
            </w:tcBorders>
            <w:shd w:val="clear" w:color="auto" w:fill="auto"/>
            <w:vAlign w:val="center"/>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Equity</w:t>
            </w:r>
          </w:p>
        </w:tc>
        <w:tc>
          <w:tcPr>
            <w:tcW w:w="1500" w:type="dxa"/>
            <w:vMerge/>
            <w:tcBorders>
              <w:bottom w:val="single" w:sz="4" w:space="0" w:color="auto"/>
            </w:tcBorders>
            <w:shd w:val="clear" w:color="auto" w:fill="auto"/>
            <w:vAlign w:val="center"/>
          </w:tcPr>
          <w:p w:rsidR="00642728" w:rsidRPr="00DA5579" w:rsidRDefault="00642728" w:rsidP="00F525EF">
            <w:pPr>
              <w:widowControl w:val="0"/>
              <w:pBdr>
                <w:top w:val="nil"/>
                <w:left w:val="nil"/>
                <w:bottom w:val="nil"/>
                <w:right w:val="nil"/>
                <w:between w:val="nil"/>
              </w:pBdr>
              <w:spacing w:after="0" w:line="240" w:lineRule="auto"/>
              <w:rPr>
                <w:rFonts w:ascii="Times New Roman" w:hAnsi="Times New Roman" w:cs="Times New Roman"/>
                <w:b/>
                <w:color w:val="000000"/>
                <w:sz w:val="20"/>
                <w:szCs w:val="20"/>
              </w:rPr>
            </w:pPr>
          </w:p>
        </w:tc>
        <w:tc>
          <w:tcPr>
            <w:tcW w:w="761" w:type="dxa"/>
            <w:vMerge/>
            <w:tcBorders>
              <w:bottom w:val="single" w:sz="4" w:space="0" w:color="auto"/>
            </w:tcBorders>
            <w:shd w:val="clear" w:color="auto" w:fill="auto"/>
            <w:vAlign w:val="center"/>
          </w:tcPr>
          <w:p w:rsidR="00642728" w:rsidRPr="00DA5579" w:rsidRDefault="00642728" w:rsidP="00F525EF">
            <w:pPr>
              <w:widowControl w:val="0"/>
              <w:pBdr>
                <w:top w:val="nil"/>
                <w:left w:val="nil"/>
                <w:bottom w:val="nil"/>
                <w:right w:val="nil"/>
                <w:between w:val="nil"/>
              </w:pBdr>
              <w:spacing w:after="0" w:line="240" w:lineRule="auto"/>
              <w:rPr>
                <w:rFonts w:ascii="Times New Roman" w:hAnsi="Times New Roman" w:cs="Times New Roman"/>
                <w:b/>
                <w:color w:val="000000"/>
                <w:sz w:val="20"/>
                <w:szCs w:val="20"/>
              </w:rPr>
            </w:pPr>
          </w:p>
        </w:tc>
      </w:tr>
      <w:tr w:rsidR="00642728" w:rsidRPr="00DA5579" w:rsidTr="00DA5579">
        <w:trPr>
          <w:trHeight w:val="300"/>
          <w:jc w:val="center"/>
        </w:trPr>
        <w:tc>
          <w:tcPr>
            <w:tcW w:w="1300" w:type="dxa"/>
            <w:tcBorders>
              <w:top w:val="single" w:sz="4" w:space="0" w:color="auto"/>
              <w:bottom w:val="nil"/>
            </w:tcBorders>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DVLA</w:t>
            </w:r>
          </w:p>
        </w:tc>
        <w:tc>
          <w:tcPr>
            <w:tcW w:w="924" w:type="dxa"/>
            <w:tcBorders>
              <w:top w:val="single" w:sz="4" w:space="0" w:color="auto"/>
              <w:bottom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358</w:t>
            </w:r>
          </w:p>
        </w:tc>
        <w:tc>
          <w:tcPr>
            <w:tcW w:w="980" w:type="dxa"/>
            <w:tcBorders>
              <w:top w:val="single" w:sz="4" w:space="0" w:color="auto"/>
              <w:bottom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85</w:t>
            </w:r>
          </w:p>
        </w:tc>
        <w:tc>
          <w:tcPr>
            <w:tcW w:w="755" w:type="dxa"/>
            <w:tcBorders>
              <w:top w:val="single" w:sz="4" w:space="0" w:color="auto"/>
              <w:bottom w:val="nil"/>
            </w:tcBorders>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1108</w:t>
            </w:r>
          </w:p>
        </w:tc>
        <w:tc>
          <w:tcPr>
            <w:tcW w:w="1360" w:type="dxa"/>
            <w:tcBorders>
              <w:top w:val="single" w:sz="4" w:space="0" w:color="auto"/>
              <w:bottom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w:t>
            </w:r>
          </w:p>
        </w:tc>
        <w:tc>
          <w:tcPr>
            <w:tcW w:w="761" w:type="dxa"/>
            <w:tcBorders>
              <w:top w:val="single" w:sz="4" w:space="0" w:color="auto"/>
              <w:bottom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w:t>
            </w:r>
          </w:p>
        </w:tc>
        <w:tc>
          <w:tcPr>
            <w:tcW w:w="761" w:type="dxa"/>
            <w:tcBorders>
              <w:top w:val="single" w:sz="4" w:space="0" w:color="auto"/>
              <w:bottom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93%</w:t>
            </w:r>
          </w:p>
        </w:tc>
        <w:tc>
          <w:tcPr>
            <w:tcW w:w="1500" w:type="dxa"/>
            <w:tcBorders>
              <w:top w:val="single" w:sz="4" w:space="0" w:color="auto"/>
              <w:bottom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1,213 </w:t>
            </w:r>
          </w:p>
        </w:tc>
        <w:tc>
          <w:tcPr>
            <w:tcW w:w="761" w:type="dxa"/>
            <w:tcBorders>
              <w:top w:val="single" w:sz="4" w:space="0" w:color="auto"/>
              <w:bottom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8.4%</w:t>
            </w:r>
          </w:p>
        </w:tc>
      </w:tr>
      <w:tr w:rsidR="00642728" w:rsidRPr="00DA5579" w:rsidTr="00DA5579">
        <w:trPr>
          <w:trHeight w:val="300"/>
          <w:jc w:val="center"/>
        </w:trPr>
        <w:tc>
          <w:tcPr>
            <w:tcW w:w="1300" w:type="dxa"/>
            <w:tcBorders>
              <w:top w:val="nil"/>
            </w:tcBorders>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INAF</w:t>
            </w:r>
          </w:p>
        </w:tc>
        <w:tc>
          <w:tcPr>
            <w:tcW w:w="924" w:type="dxa"/>
            <w:tcBorders>
              <w:top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719</w:t>
            </w:r>
          </w:p>
        </w:tc>
        <w:tc>
          <w:tcPr>
            <w:tcW w:w="980" w:type="dxa"/>
            <w:tcBorders>
              <w:top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152</w:t>
            </w:r>
          </w:p>
        </w:tc>
        <w:tc>
          <w:tcPr>
            <w:tcW w:w="755" w:type="dxa"/>
            <w:tcBorders>
              <w:top w:val="nil"/>
            </w:tcBorders>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548</w:t>
            </w:r>
          </w:p>
        </w:tc>
        <w:tc>
          <w:tcPr>
            <w:tcW w:w="1360" w:type="dxa"/>
            <w:tcBorders>
              <w:top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22%</w:t>
            </w:r>
          </w:p>
        </w:tc>
        <w:tc>
          <w:tcPr>
            <w:tcW w:w="761" w:type="dxa"/>
            <w:tcBorders>
              <w:top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22%</w:t>
            </w:r>
          </w:p>
        </w:tc>
        <w:tc>
          <w:tcPr>
            <w:tcW w:w="761" w:type="dxa"/>
            <w:tcBorders>
              <w:top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78%</w:t>
            </w:r>
          </w:p>
        </w:tc>
        <w:tc>
          <w:tcPr>
            <w:tcW w:w="1500" w:type="dxa"/>
            <w:tcBorders>
              <w:top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732 </w:t>
            </w:r>
          </w:p>
        </w:tc>
        <w:tc>
          <w:tcPr>
            <w:tcW w:w="761" w:type="dxa"/>
            <w:tcBorders>
              <w:top w:val="nil"/>
            </w:tcBorders>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7.1%</w:t>
            </w:r>
          </w:p>
        </w:tc>
      </w:tr>
      <w:tr w:rsidR="00642728" w:rsidRPr="00DA5579" w:rsidTr="00DA5579">
        <w:trPr>
          <w:trHeight w:val="300"/>
          <w:jc w:val="center"/>
        </w:trPr>
        <w:tc>
          <w:tcPr>
            <w:tcW w:w="1300" w:type="dxa"/>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KAEF</w:t>
            </w:r>
          </w:p>
        </w:tc>
        <w:tc>
          <w:tcPr>
            <w:tcW w:w="924"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2862</w:t>
            </w:r>
          </w:p>
        </w:tc>
        <w:tc>
          <w:tcPr>
            <w:tcW w:w="98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1376</w:t>
            </w:r>
          </w:p>
        </w:tc>
        <w:tc>
          <w:tcPr>
            <w:tcW w:w="755" w:type="dxa"/>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3213</w:t>
            </w:r>
          </w:p>
        </w:tc>
        <w:tc>
          <w:tcPr>
            <w:tcW w:w="136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30%</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30%</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70%</w:t>
            </w:r>
          </w:p>
        </w:tc>
        <w:tc>
          <w:tcPr>
            <w:tcW w:w="150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4,809 </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3.9%</w:t>
            </w:r>
          </w:p>
        </w:tc>
      </w:tr>
      <w:tr w:rsidR="00642728" w:rsidRPr="00DA5579" w:rsidTr="00DA5579">
        <w:trPr>
          <w:trHeight w:val="300"/>
          <w:jc w:val="center"/>
        </w:trPr>
        <w:tc>
          <w:tcPr>
            <w:tcW w:w="1300" w:type="dxa"/>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KLBF</w:t>
            </w:r>
          </w:p>
        </w:tc>
        <w:tc>
          <w:tcPr>
            <w:tcW w:w="924"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2363</w:t>
            </w:r>
          </w:p>
        </w:tc>
        <w:tc>
          <w:tcPr>
            <w:tcW w:w="98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513</w:t>
            </w:r>
          </w:p>
        </w:tc>
        <w:tc>
          <w:tcPr>
            <w:tcW w:w="755" w:type="dxa"/>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13185</w:t>
            </w:r>
          </w:p>
        </w:tc>
        <w:tc>
          <w:tcPr>
            <w:tcW w:w="136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4%</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4%</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96%</w:t>
            </w:r>
          </w:p>
        </w:tc>
        <w:tc>
          <w:tcPr>
            <w:tcW w:w="150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13,821 </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16.0%</w:t>
            </w:r>
          </w:p>
        </w:tc>
      </w:tr>
      <w:tr w:rsidR="00642728" w:rsidRPr="00DA5579" w:rsidTr="00DA5579">
        <w:trPr>
          <w:trHeight w:val="300"/>
          <w:jc w:val="center"/>
        </w:trPr>
        <w:tc>
          <w:tcPr>
            <w:tcW w:w="1300" w:type="dxa"/>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MERK</w:t>
            </w:r>
          </w:p>
        </w:tc>
        <w:tc>
          <w:tcPr>
            <w:tcW w:w="924"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258</w:t>
            </w:r>
          </w:p>
        </w:tc>
        <w:tc>
          <w:tcPr>
            <w:tcW w:w="98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38</w:t>
            </w:r>
          </w:p>
        </w:tc>
        <w:tc>
          <w:tcPr>
            <w:tcW w:w="755" w:type="dxa"/>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556</w:t>
            </w:r>
          </w:p>
        </w:tc>
        <w:tc>
          <w:tcPr>
            <w:tcW w:w="136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6%</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6%</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94%</w:t>
            </w:r>
          </w:p>
        </w:tc>
        <w:tc>
          <w:tcPr>
            <w:tcW w:w="150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603 </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10.9%</w:t>
            </w:r>
          </w:p>
        </w:tc>
      </w:tr>
      <w:tr w:rsidR="00642728" w:rsidRPr="00DA5579" w:rsidTr="00DA5579">
        <w:trPr>
          <w:trHeight w:val="300"/>
          <w:jc w:val="center"/>
        </w:trPr>
        <w:tc>
          <w:tcPr>
            <w:tcW w:w="1300" w:type="dxa"/>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PYFA</w:t>
            </w:r>
          </w:p>
        </w:tc>
        <w:tc>
          <w:tcPr>
            <w:tcW w:w="924"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34</w:t>
            </w:r>
          </w:p>
        </w:tc>
        <w:tc>
          <w:tcPr>
            <w:tcW w:w="98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29</w:t>
            </w:r>
          </w:p>
        </w:tc>
        <w:tc>
          <w:tcPr>
            <w:tcW w:w="755" w:type="dxa"/>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109</w:t>
            </w:r>
          </w:p>
        </w:tc>
        <w:tc>
          <w:tcPr>
            <w:tcW w:w="136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21%</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21%</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79%</w:t>
            </w:r>
          </w:p>
        </w:tc>
        <w:tc>
          <w:tcPr>
            <w:tcW w:w="150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144 </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12.8%</w:t>
            </w:r>
          </w:p>
        </w:tc>
      </w:tr>
      <w:tr w:rsidR="00642728" w:rsidRPr="00DA5579" w:rsidTr="00DA5579">
        <w:trPr>
          <w:trHeight w:val="300"/>
          <w:jc w:val="center"/>
        </w:trPr>
        <w:tc>
          <w:tcPr>
            <w:tcW w:w="1300" w:type="dxa"/>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SCPI</w:t>
            </w:r>
          </w:p>
        </w:tc>
        <w:tc>
          <w:tcPr>
            <w:tcW w:w="924"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528</w:t>
            </w:r>
          </w:p>
        </w:tc>
        <w:tc>
          <w:tcPr>
            <w:tcW w:w="98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615</w:t>
            </w:r>
          </w:p>
        </w:tc>
        <w:tc>
          <w:tcPr>
            <w:tcW w:w="755" w:type="dxa"/>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295</w:t>
            </w:r>
          </w:p>
        </w:tc>
        <w:tc>
          <w:tcPr>
            <w:tcW w:w="136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68%</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68%</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32%</w:t>
            </w:r>
          </w:p>
        </w:tc>
        <w:tc>
          <w:tcPr>
            <w:tcW w:w="150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762 </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13.9%</w:t>
            </w:r>
          </w:p>
        </w:tc>
      </w:tr>
      <w:tr w:rsidR="00642728" w:rsidRPr="00DA5579" w:rsidTr="00DA5579">
        <w:trPr>
          <w:trHeight w:val="300"/>
          <w:jc w:val="center"/>
        </w:trPr>
        <w:tc>
          <w:tcPr>
            <w:tcW w:w="1300" w:type="dxa"/>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SIDO</w:t>
            </w:r>
          </w:p>
        </w:tc>
        <w:tc>
          <w:tcPr>
            <w:tcW w:w="924"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262</w:t>
            </w:r>
          </w:p>
        </w:tc>
        <w:tc>
          <w:tcPr>
            <w:tcW w:w="98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35</w:t>
            </w:r>
          </w:p>
        </w:tc>
        <w:tc>
          <w:tcPr>
            <w:tcW w:w="755" w:type="dxa"/>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2808</w:t>
            </w:r>
          </w:p>
        </w:tc>
        <w:tc>
          <w:tcPr>
            <w:tcW w:w="136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99%</w:t>
            </w:r>
          </w:p>
        </w:tc>
        <w:tc>
          <w:tcPr>
            <w:tcW w:w="150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2,851 </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8.7%</w:t>
            </w:r>
          </w:p>
        </w:tc>
      </w:tr>
      <w:tr w:rsidR="00642728" w:rsidRPr="00DA5579" w:rsidTr="00DA5579">
        <w:trPr>
          <w:trHeight w:val="300"/>
          <w:jc w:val="center"/>
        </w:trPr>
        <w:tc>
          <w:tcPr>
            <w:tcW w:w="1300" w:type="dxa"/>
            <w:shd w:val="clear" w:color="auto" w:fill="auto"/>
            <w:vAlign w:val="bottom"/>
          </w:tcPr>
          <w:p w:rsidR="00642728" w:rsidRPr="00DA5579" w:rsidRDefault="00A30734" w:rsidP="00F525EF">
            <w:pPr>
              <w:spacing w:line="240" w:lineRule="auto"/>
              <w:jc w:val="center"/>
              <w:rPr>
                <w:rFonts w:ascii="Times New Roman" w:hAnsi="Times New Roman" w:cs="Times New Roman"/>
                <w:color w:val="000000"/>
                <w:sz w:val="20"/>
                <w:szCs w:val="20"/>
              </w:rPr>
            </w:pPr>
            <w:r w:rsidRPr="00DA5579">
              <w:rPr>
                <w:rFonts w:ascii="Times New Roman" w:hAnsi="Times New Roman" w:cs="Times New Roman"/>
                <w:color w:val="000000"/>
                <w:sz w:val="20"/>
                <w:szCs w:val="20"/>
              </w:rPr>
              <w:t>TSPC</w:t>
            </w:r>
          </w:p>
        </w:tc>
        <w:tc>
          <w:tcPr>
            <w:tcW w:w="924"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1763</w:t>
            </w:r>
          </w:p>
        </w:tc>
        <w:tc>
          <w:tcPr>
            <w:tcW w:w="98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358</w:t>
            </w:r>
          </w:p>
        </w:tc>
        <w:tc>
          <w:tcPr>
            <w:tcW w:w="755" w:type="dxa"/>
            <w:shd w:val="clear" w:color="auto" w:fill="auto"/>
            <w:vAlign w:val="center"/>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4902</w:t>
            </w:r>
          </w:p>
        </w:tc>
        <w:tc>
          <w:tcPr>
            <w:tcW w:w="136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7%</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93%</w:t>
            </w:r>
          </w:p>
        </w:tc>
        <w:tc>
          <w:tcPr>
            <w:tcW w:w="1500"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 xml:space="preserve">                     5,346 </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color w:val="000000"/>
                <w:sz w:val="20"/>
                <w:szCs w:val="20"/>
              </w:rPr>
            </w:pPr>
            <w:r w:rsidRPr="00DA5579">
              <w:rPr>
                <w:rFonts w:ascii="Times New Roman" w:hAnsi="Times New Roman" w:cs="Times New Roman"/>
                <w:color w:val="000000"/>
                <w:sz w:val="20"/>
                <w:szCs w:val="20"/>
              </w:rPr>
              <w:t>18.0%</w:t>
            </w:r>
          </w:p>
        </w:tc>
      </w:tr>
      <w:tr w:rsidR="00642728" w:rsidRPr="00DA5579" w:rsidTr="00DA5579">
        <w:trPr>
          <w:trHeight w:val="300"/>
          <w:jc w:val="center"/>
        </w:trPr>
        <w:tc>
          <w:tcPr>
            <w:tcW w:w="1300" w:type="dxa"/>
            <w:shd w:val="clear" w:color="auto" w:fill="auto"/>
            <w:vAlign w:val="bottom"/>
          </w:tcPr>
          <w:p w:rsidR="00642728" w:rsidRPr="00DA5579" w:rsidRDefault="00A30734" w:rsidP="00F525EF">
            <w:pPr>
              <w:spacing w:line="240" w:lineRule="auto"/>
              <w:jc w:val="center"/>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Average</w:t>
            </w:r>
          </w:p>
        </w:tc>
        <w:tc>
          <w:tcPr>
            <w:tcW w:w="924" w:type="dxa"/>
            <w:shd w:val="clear" w:color="auto" w:fill="auto"/>
            <w:vAlign w:val="bottom"/>
          </w:tcPr>
          <w:p w:rsidR="00642728" w:rsidRPr="00DA5579" w:rsidRDefault="00A30734" w:rsidP="00F525EF">
            <w:pPr>
              <w:spacing w:line="240" w:lineRule="auto"/>
              <w:jc w:val="right"/>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1016</w:t>
            </w:r>
          </w:p>
        </w:tc>
        <w:tc>
          <w:tcPr>
            <w:tcW w:w="980" w:type="dxa"/>
            <w:shd w:val="clear" w:color="auto" w:fill="auto"/>
            <w:vAlign w:val="bottom"/>
          </w:tcPr>
          <w:p w:rsidR="00642728" w:rsidRPr="00DA5579" w:rsidRDefault="00A30734" w:rsidP="00F525EF">
            <w:pPr>
              <w:spacing w:line="240" w:lineRule="auto"/>
              <w:jc w:val="right"/>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356</w:t>
            </w:r>
          </w:p>
        </w:tc>
        <w:tc>
          <w:tcPr>
            <w:tcW w:w="755" w:type="dxa"/>
            <w:shd w:val="clear" w:color="auto" w:fill="auto"/>
            <w:vAlign w:val="bottom"/>
          </w:tcPr>
          <w:p w:rsidR="00642728" w:rsidRPr="00DA5579" w:rsidRDefault="00A30734" w:rsidP="00F525EF">
            <w:pPr>
              <w:spacing w:line="240" w:lineRule="auto"/>
              <w:jc w:val="right"/>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2969</w:t>
            </w:r>
          </w:p>
        </w:tc>
        <w:tc>
          <w:tcPr>
            <w:tcW w:w="1360" w:type="dxa"/>
            <w:shd w:val="clear" w:color="auto" w:fill="auto"/>
            <w:vAlign w:val="bottom"/>
          </w:tcPr>
          <w:p w:rsidR="00642728" w:rsidRPr="00DA5579" w:rsidRDefault="00A30734" w:rsidP="00F525EF">
            <w:pPr>
              <w:spacing w:line="240" w:lineRule="auto"/>
              <w:jc w:val="right"/>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18.43%</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18.43%</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81.57%</w:t>
            </w:r>
          </w:p>
        </w:tc>
        <w:tc>
          <w:tcPr>
            <w:tcW w:w="1500" w:type="dxa"/>
            <w:shd w:val="clear" w:color="auto" w:fill="auto"/>
            <w:vAlign w:val="bottom"/>
          </w:tcPr>
          <w:p w:rsidR="00642728" w:rsidRPr="00DA5579" w:rsidRDefault="00A30734" w:rsidP="00F525EF">
            <w:pPr>
              <w:spacing w:line="240" w:lineRule="auto"/>
              <w:jc w:val="right"/>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3365</w:t>
            </w:r>
          </w:p>
        </w:tc>
        <w:tc>
          <w:tcPr>
            <w:tcW w:w="761" w:type="dxa"/>
            <w:shd w:val="clear" w:color="auto" w:fill="auto"/>
            <w:vAlign w:val="bottom"/>
          </w:tcPr>
          <w:p w:rsidR="00642728" w:rsidRPr="00DA5579" w:rsidRDefault="00A30734" w:rsidP="00F525EF">
            <w:pPr>
              <w:spacing w:line="240" w:lineRule="auto"/>
              <w:jc w:val="right"/>
              <w:rPr>
                <w:rFonts w:ascii="Times New Roman" w:hAnsi="Times New Roman" w:cs="Times New Roman"/>
                <w:b/>
                <w:color w:val="000000"/>
                <w:sz w:val="20"/>
                <w:szCs w:val="20"/>
              </w:rPr>
            </w:pPr>
            <w:r w:rsidRPr="00DA5579">
              <w:rPr>
                <w:rFonts w:ascii="Times New Roman" w:hAnsi="Times New Roman" w:cs="Times New Roman"/>
                <w:b/>
                <w:color w:val="000000"/>
                <w:sz w:val="20"/>
                <w:szCs w:val="20"/>
              </w:rPr>
              <w:t>11.10%</w:t>
            </w:r>
          </w:p>
        </w:tc>
      </w:tr>
    </w:tbl>
    <w:p w:rsidR="00642728" w:rsidRPr="00DA5579" w:rsidRDefault="00A30734" w:rsidP="00DA5579">
      <w:pPr>
        <w:widowControl w:val="0"/>
        <w:pBdr>
          <w:top w:val="nil"/>
          <w:left w:val="nil"/>
          <w:bottom w:val="nil"/>
          <w:right w:val="nil"/>
          <w:between w:val="nil"/>
        </w:pBdr>
        <w:tabs>
          <w:tab w:val="left" w:pos="709"/>
        </w:tabs>
        <w:spacing w:after="0" w:line="240" w:lineRule="auto"/>
        <w:ind w:left="-567"/>
        <w:jc w:val="both"/>
        <w:rPr>
          <w:rFonts w:ascii="Times New Roman" w:eastAsia="Times New Roman" w:hAnsi="Times New Roman" w:cs="Times New Roman"/>
          <w:b/>
          <w:color w:val="000000"/>
          <w:sz w:val="20"/>
          <w:szCs w:val="20"/>
        </w:rPr>
      </w:pPr>
      <w:r w:rsidRPr="00DA5579">
        <w:rPr>
          <w:rFonts w:ascii="Times New Roman" w:eastAsia="Times New Roman" w:hAnsi="Times New Roman" w:cs="Times New Roman"/>
          <w:b/>
          <w:color w:val="000000"/>
          <w:sz w:val="20"/>
          <w:szCs w:val="20"/>
        </w:rPr>
        <w:t>Source: Research Results</w:t>
      </w:r>
    </w:p>
    <w:p w:rsidR="00DA5579" w:rsidRDefault="00A30734" w:rsidP="00F525EF">
      <w:pPr>
        <w:widowControl w:val="0"/>
        <w:pBdr>
          <w:top w:val="nil"/>
          <w:left w:val="nil"/>
          <w:bottom w:val="nil"/>
          <w:right w:val="nil"/>
          <w:between w:val="nil"/>
        </w:pBdr>
        <w:tabs>
          <w:tab w:val="left" w:pos="709"/>
        </w:tabs>
        <w:spacing w:after="0" w:line="240" w:lineRule="auto"/>
        <w:ind w:left="360" w:hanging="421"/>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42728" w:rsidRDefault="00A30734" w:rsidP="00DA557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val="id-ID"/>
        </w:rPr>
      </w:pPr>
      <w:r>
        <w:rPr>
          <w:rFonts w:ascii="Times New Roman" w:eastAsia="Times New Roman" w:hAnsi="Times New Roman" w:cs="Times New Roman"/>
          <w:color w:val="000000"/>
          <w:sz w:val="24"/>
          <w:szCs w:val="24"/>
        </w:rPr>
        <w:t xml:space="preserve">Table 4 above shows the average capital structure of the pharmaceutical sub-sector companies in 2014 - 2019; it is known that the composition mainly uses their capital rather than long-term debt. Although companies with more long-term debt than capital, the proportion of funding from companies in the pharmaceutical sub-sector still uses their own capital. The proportion of financing mix in pharmaceutical sub-sector companies is composed of 18.43% debt and </w:t>
      </w:r>
      <w:r>
        <w:rPr>
          <w:rFonts w:ascii="Times New Roman" w:eastAsia="Times New Roman" w:hAnsi="Times New Roman" w:cs="Times New Roman"/>
          <w:color w:val="000000"/>
          <w:sz w:val="24"/>
          <w:szCs w:val="24"/>
        </w:rPr>
        <w:lastRenderedPageBreak/>
        <w:t>81.57% equity. The debt calculated here is from short-term bank loans and long-term bank loans.</w:t>
      </w:r>
      <w:r w:rsidR="00DA5579">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sz w:val="24"/>
          <w:szCs w:val="24"/>
        </w:rPr>
        <w:t>It is known that the company value in the pharmaceutical sub-sector company has an average company value of 3,365 M. The weighted average cost of capital is the cost of capital in the aggregate consisting of a combination of debt costs and cost of company equity. It is known that the cost of capital (WACC) in pharmaceutical sub-sector companies has a proportion of capital costs (WACC) of 3.9% to 18%, with an average WACC amount of 11.10%</w:t>
      </w:r>
      <w:r w:rsidR="00DA5579">
        <w:rPr>
          <w:rFonts w:ascii="Times New Roman" w:eastAsia="Times New Roman" w:hAnsi="Times New Roman" w:cs="Times New Roman"/>
          <w:sz w:val="24"/>
          <w:szCs w:val="24"/>
          <w:lang w:val="id-ID"/>
        </w:rPr>
        <w:t>.</w:t>
      </w:r>
    </w:p>
    <w:p w:rsidR="00DA5579" w:rsidRPr="00DA5579" w:rsidRDefault="00DA5579" w:rsidP="00DA557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id-ID"/>
        </w:rPr>
      </w:pPr>
    </w:p>
    <w:p w:rsidR="00642728" w:rsidRPr="00DA5579" w:rsidRDefault="00DA5579" w:rsidP="00DA5579">
      <w:pPr>
        <w:widowControl w:val="0"/>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Value </w:t>
      </w:r>
      <w:proofErr w:type="gramStart"/>
      <w:r>
        <w:rPr>
          <w:rFonts w:ascii="Times New Roman" w:eastAsia="Times New Roman" w:hAnsi="Times New Roman" w:cs="Times New Roman"/>
          <w:b/>
          <w:color w:val="000000"/>
          <w:sz w:val="24"/>
          <w:szCs w:val="24"/>
        </w:rPr>
        <w:t>Of</w:t>
      </w:r>
      <w:proofErr w:type="gramEnd"/>
      <w:r>
        <w:rPr>
          <w:rFonts w:ascii="Times New Roman" w:eastAsia="Times New Roman" w:hAnsi="Times New Roman" w:cs="Times New Roman"/>
          <w:b/>
          <w:color w:val="000000"/>
          <w:sz w:val="24"/>
          <w:szCs w:val="24"/>
        </w:rPr>
        <w:t xml:space="preserve"> The Firm</w:t>
      </w:r>
    </w:p>
    <w:p w:rsidR="00642728" w:rsidRDefault="00A30734" w:rsidP="00DA557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value of the firm (value of the firm) with debt will increase with increasing debt. This is due to the tax benefits that the company gets by going into debt to fund the company's operations. The weighted average cost of capital (WACC) is also getting lower with higher corporate debt levels. Due to the tax benefit in the WACC calculation when multiplying the cost of debt (</w:t>
      </w:r>
      <w:proofErr w:type="spellStart"/>
      <w:proofErr w:type="gramStart"/>
      <w:r>
        <w:rPr>
          <w:rFonts w:ascii="Times New Roman" w:eastAsia="Times New Roman" w:hAnsi="Times New Roman" w:cs="Times New Roman"/>
          <w:color w:val="000000"/>
          <w:sz w:val="24"/>
          <w:szCs w:val="24"/>
        </w:rPr>
        <w:t>kd</w:t>
      </w:r>
      <w:proofErr w:type="spellEnd"/>
      <w:proofErr w:type="gramEnd"/>
      <w:r>
        <w:rPr>
          <w:rFonts w:ascii="Times New Roman" w:eastAsia="Times New Roman" w:hAnsi="Times New Roman" w:cs="Times New Roman"/>
          <w:color w:val="000000"/>
          <w:sz w:val="24"/>
          <w:szCs w:val="24"/>
        </w:rPr>
        <w:t>) with the proportion of debt.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The calculation of the impact of financial distress cost on firm value and the results of the V calculation from the results of the VL and VU calculations are as follows:</w:t>
      </w:r>
    </w:p>
    <w:p w:rsidR="00642728" w:rsidRDefault="00642728" w:rsidP="00F525EF">
      <w:pPr>
        <w:widowControl w:val="0"/>
        <w:pBdr>
          <w:top w:val="nil"/>
          <w:left w:val="nil"/>
          <w:bottom w:val="nil"/>
          <w:right w:val="nil"/>
          <w:between w:val="nil"/>
        </w:pBdr>
        <w:tabs>
          <w:tab w:val="left" w:pos="709"/>
        </w:tabs>
        <w:spacing w:after="0" w:line="240" w:lineRule="auto"/>
        <w:ind w:left="709" w:hanging="421"/>
        <w:jc w:val="both"/>
        <w:rPr>
          <w:rFonts w:ascii="Times New Roman" w:eastAsia="Times New Roman" w:hAnsi="Times New Roman" w:cs="Times New Roman"/>
          <w:color w:val="000000"/>
          <w:sz w:val="24"/>
          <w:szCs w:val="24"/>
        </w:rPr>
      </w:pPr>
    </w:p>
    <w:p w:rsidR="00642728" w:rsidRPr="00DA5579" w:rsidRDefault="00DA5579" w:rsidP="00F525EF">
      <w:pPr>
        <w:widowControl w:val="0"/>
        <w:pBdr>
          <w:top w:val="nil"/>
          <w:left w:val="nil"/>
          <w:bottom w:val="nil"/>
          <w:right w:val="nil"/>
          <w:between w:val="nil"/>
        </w:pBdr>
        <w:tabs>
          <w:tab w:val="left" w:pos="709"/>
        </w:tabs>
        <w:spacing w:after="0" w:line="240" w:lineRule="auto"/>
        <w:ind w:left="709" w:hanging="421"/>
        <w:jc w:val="center"/>
        <w:rPr>
          <w:rFonts w:ascii="Times New Roman" w:eastAsia="Times New Roman" w:hAnsi="Times New Roman" w:cs="Times New Roman"/>
          <w:i/>
          <w:color w:val="000000"/>
        </w:rPr>
      </w:pPr>
      <w:proofErr w:type="gramStart"/>
      <w:r w:rsidRPr="00DA5579">
        <w:rPr>
          <w:rFonts w:ascii="Times New Roman" w:eastAsia="Times New Roman" w:hAnsi="Times New Roman" w:cs="Times New Roman"/>
          <w:i/>
          <w:color w:val="000000"/>
        </w:rPr>
        <w:t xml:space="preserve">Table </w:t>
      </w:r>
      <w:r w:rsidRPr="00DA5579">
        <w:rPr>
          <w:rFonts w:ascii="Times New Roman" w:eastAsia="Times New Roman" w:hAnsi="Times New Roman" w:cs="Times New Roman"/>
          <w:i/>
          <w:color w:val="000000"/>
          <w:lang w:val="id-ID"/>
        </w:rPr>
        <w:t>3</w:t>
      </w:r>
      <w:r w:rsidR="00A30734" w:rsidRPr="00DA5579">
        <w:rPr>
          <w:rFonts w:ascii="Times New Roman" w:eastAsia="Times New Roman" w:hAnsi="Times New Roman" w:cs="Times New Roman"/>
          <w:i/>
          <w:color w:val="000000"/>
        </w:rPr>
        <w:t>.</w:t>
      </w:r>
      <w:proofErr w:type="gramEnd"/>
      <w:r w:rsidR="00A30734" w:rsidRPr="00DA5579">
        <w:rPr>
          <w:rFonts w:ascii="Times New Roman" w:eastAsia="Times New Roman" w:hAnsi="Times New Roman" w:cs="Times New Roman"/>
          <w:i/>
          <w:color w:val="000000"/>
        </w:rPr>
        <w:t xml:space="preserve"> Calculation Results of Companies in the Pharmaceutical sub-sector</w:t>
      </w:r>
    </w:p>
    <w:tbl>
      <w:tblPr>
        <w:tblStyle w:val="a1"/>
        <w:tblW w:w="9892" w:type="dxa"/>
        <w:jc w:val="center"/>
        <w:tblInd w:w="93" w:type="dxa"/>
        <w:tblBorders>
          <w:top w:val="single" w:sz="4" w:space="0" w:color="auto"/>
          <w:bottom w:val="single" w:sz="4" w:space="0" w:color="auto"/>
        </w:tblBorders>
        <w:tblLayout w:type="fixed"/>
        <w:tblLook w:val="0400" w:firstRow="0" w:lastRow="0" w:firstColumn="0" w:lastColumn="0" w:noHBand="0" w:noVBand="1"/>
      </w:tblPr>
      <w:tblGrid>
        <w:gridCol w:w="1080"/>
        <w:gridCol w:w="640"/>
        <w:gridCol w:w="332"/>
        <w:gridCol w:w="618"/>
        <w:gridCol w:w="723"/>
        <w:gridCol w:w="723"/>
        <w:gridCol w:w="722"/>
        <w:gridCol w:w="722"/>
        <w:gridCol w:w="722"/>
        <w:gridCol w:w="722"/>
        <w:gridCol w:w="722"/>
        <w:gridCol w:w="722"/>
        <w:gridCol w:w="722"/>
        <w:gridCol w:w="722"/>
      </w:tblGrid>
      <w:tr w:rsidR="00642728" w:rsidTr="00DA5579">
        <w:trPr>
          <w:trHeight w:val="300"/>
          <w:jc w:val="center"/>
        </w:trPr>
        <w:tc>
          <w:tcPr>
            <w:tcW w:w="1080" w:type="dxa"/>
            <w:vMerge w:val="restart"/>
            <w:shd w:val="clear" w:color="auto" w:fill="auto"/>
            <w:vAlign w:val="center"/>
          </w:tcPr>
          <w:p w:rsidR="00642728" w:rsidRDefault="00A30734" w:rsidP="00F525EF">
            <w:pPr>
              <w:spacing w:after="0" w:line="240" w:lineRule="auto"/>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Company</w:t>
            </w:r>
          </w:p>
        </w:tc>
        <w:tc>
          <w:tcPr>
            <w:tcW w:w="640" w:type="dxa"/>
            <w:vMerge w:val="restart"/>
            <w:shd w:val="clear" w:color="auto" w:fill="auto"/>
            <w:vAlign w:val="center"/>
          </w:tcPr>
          <w:p w:rsidR="00642728" w:rsidRDefault="00A30734" w:rsidP="00F525EF">
            <w:pPr>
              <w:spacing w:after="0" w:line="240" w:lineRule="auto"/>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Year </w:t>
            </w:r>
          </w:p>
        </w:tc>
        <w:tc>
          <w:tcPr>
            <w:tcW w:w="332" w:type="dxa"/>
            <w:vMerge w:val="restart"/>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V</w:t>
            </w:r>
          </w:p>
        </w:tc>
        <w:tc>
          <w:tcPr>
            <w:tcW w:w="7840" w:type="dxa"/>
            <w:gridSpan w:val="11"/>
            <w:shd w:val="clear" w:color="auto" w:fill="auto"/>
            <w:vAlign w:val="bottom"/>
          </w:tcPr>
          <w:p w:rsidR="00642728" w:rsidRDefault="00A30734" w:rsidP="00F525E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DEBT</w:t>
            </w:r>
          </w:p>
        </w:tc>
      </w:tr>
      <w:tr w:rsidR="00642728" w:rsidTr="00DA5579">
        <w:trPr>
          <w:trHeight w:val="300"/>
          <w:jc w:val="center"/>
        </w:trPr>
        <w:tc>
          <w:tcPr>
            <w:tcW w:w="1080" w:type="dxa"/>
            <w:vMerge/>
            <w:tcBorders>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tc>
        <w:tc>
          <w:tcPr>
            <w:tcW w:w="640" w:type="dxa"/>
            <w:vMerge/>
            <w:tcBorders>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tc>
        <w:tc>
          <w:tcPr>
            <w:tcW w:w="332" w:type="dxa"/>
            <w:vMerge/>
            <w:tcBorders>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tc>
        <w:tc>
          <w:tcPr>
            <w:tcW w:w="618"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w:t>
            </w:r>
          </w:p>
        </w:tc>
        <w:tc>
          <w:tcPr>
            <w:tcW w:w="723"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w:t>
            </w:r>
          </w:p>
        </w:tc>
        <w:tc>
          <w:tcPr>
            <w:tcW w:w="723"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80%</w:t>
            </w:r>
          </w:p>
        </w:tc>
        <w:tc>
          <w:tcPr>
            <w:tcW w:w="722"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70%</w:t>
            </w:r>
          </w:p>
        </w:tc>
        <w:tc>
          <w:tcPr>
            <w:tcW w:w="722"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60%</w:t>
            </w:r>
          </w:p>
        </w:tc>
        <w:tc>
          <w:tcPr>
            <w:tcW w:w="722"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50%</w:t>
            </w:r>
          </w:p>
        </w:tc>
        <w:tc>
          <w:tcPr>
            <w:tcW w:w="722"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40%</w:t>
            </w:r>
          </w:p>
        </w:tc>
        <w:tc>
          <w:tcPr>
            <w:tcW w:w="722"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30%</w:t>
            </w:r>
          </w:p>
        </w:tc>
        <w:tc>
          <w:tcPr>
            <w:tcW w:w="722"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20%</w:t>
            </w:r>
          </w:p>
        </w:tc>
        <w:tc>
          <w:tcPr>
            <w:tcW w:w="722"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w:t>
            </w:r>
          </w:p>
        </w:tc>
        <w:tc>
          <w:tcPr>
            <w:tcW w:w="722" w:type="dxa"/>
            <w:tcBorders>
              <w:bottom w:val="single" w:sz="4" w:space="0" w:color="auto"/>
            </w:tcBorders>
            <w:shd w:val="clear" w:color="auto" w:fill="auto"/>
            <w:vAlign w:val="bottom"/>
          </w:tcPr>
          <w:p w:rsidR="00642728" w:rsidRDefault="00A30734" w:rsidP="00F525EF">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w:t>
            </w:r>
          </w:p>
        </w:tc>
      </w:tr>
      <w:tr w:rsidR="00642728" w:rsidTr="00DA5579">
        <w:trPr>
          <w:trHeight w:val="300"/>
          <w:jc w:val="center"/>
        </w:trPr>
        <w:tc>
          <w:tcPr>
            <w:tcW w:w="1080" w:type="dxa"/>
            <w:vMerge w:val="restart"/>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DVLA</w:t>
            </w:r>
          </w:p>
        </w:tc>
        <w:tc>
          <w:tcPr>
            <w:tcW w:w="640"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2014</w:t>
            </w:r>
          </w:p>
        </w:tc>
        <w:tc>
          <w:tcPr>
            <w:tcW w:w="332"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53 </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283 </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499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658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769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840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878 </w:t>
            </w:r>
          </w:p>
        </w:tc>
        <w:tc>
          <w:tcPr>
            <w:tcW w:w="722" w:type="dxa"/>
            <w:tcBorders>
              <w:top w:val="single" w:sz="4" w:space="0" w:color="auto"/>
              <w:bottom w:val="nil"/>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892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888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873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853 </w:t>
            </w:r>
          </w:p>
        </w:tc>
      </w:tr>
      <w:tr w:rsidR="00642728" w:rsidTr="00DA5579">
        <w:trPr>
          <w:trHeight w:val="300"/>
          <w:jc w:val="center"/>
        </w:trPr>
        <w:tc>
          <w:tcPr>
            <w:tcW w:w="1080" w:type="dxa"/>
            <w:vMerge/>
            <w:tcBorders>
              <w:top w:val="nil"/>
              <w:bottom w:val="nil"/>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2015</w:t>
            </w:r>
          </w:p>
        </w:tc>
        <w:tc>
          <w:tcPr>
            <w:tcW w:w="332"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23 </w:t>
            </w:r>
          </w:p>
        </w:tc>
        <w:tc>
          <w:tcPr>
            <w:tcW w:w="723"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121 </w:t>
            </w:r>
          </w:p>
        </w:tc>
        <w:tc>
          <w:tcPr>
            <w:tcW w:w="723"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214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282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329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360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376 </w:t>
            </w:r>
          </w:p>
        </w:tc>
        <w:tc>
          <w:tcPr>
            <w:tcW w:w="722" w:type="dxa"/>
            <w:tcBorders>
              <w:top w:val="nil"/>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382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381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374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365 </w:t>
            </w:r>
          </w:p>
        </w:tc>
      </w:tr>
      <w:tr w:rsidR="00642728" w:rsidTr="00DA5579">
        <w:trPr>
          <w:trHeight w:val="300"/>
          <w:jc w:val="center"/>
        </w:trPr>
        <w:tc>
          <w:tcPr>
            <w:tcW w:w="1080" w:type="dxa"/>
            <w:vMerge/>
            <w:tcBorders>
              <w:top w:val="nil"/>
              <w:bottom w:val="nil"/>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187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992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1,750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2,306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2,694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2,941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3,076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3,125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3,112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3,059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2,988 </w:t>
            </w:r>
          </w:p>
        </w:tc>
      </w:tr>
      <w:tr w:rsidR="00642728" w:rsidTr="00DA5579">
        <w:trPr>
          <w:trHeight w:val="300"/>
          <w:jc w:val="center"/>
        </w:trPr>
        <w:tc>
          <w:tcPr>
            <w:tcW w:w="1080" w:type="dxa"/>
            <w:vMerge/>
            <w:tcBorders>
              <w:top w:val="nil"/>
              <w:bottom w:val="nil"/>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1,513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8,037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14,177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18,689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21,827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23,831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24,926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25,322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25,216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24,790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24,209 </w:t>
            </w:r>
          </w:p>
        </w:tc>
      </w:tr>
      <w:tr w:rsidR="00642728" w:rsidTr="00DA5579">
        <w:trPr>
          <w:trHeight w:val="300"/>
          <w:jc w:val="center"/>
        </w:trPr>
        <w:tc>
          <w:tcPr>
            <w:tcW w:w="1080" w:type="dxa"/>
            <w:vMerge/>
            <w:tcBorders>
              <w:top w:val="nil"/>
              <w:bottom w:val="nil"/>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110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583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1,029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1,357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1,585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1,730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1,810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1,838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1,831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1,800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1,758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332"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5.4 </w:t>
            </w:r>
          </w:p>
        </w:tc>
        <w:tc>
          <w:tcPr>
            <w:tcW w:w="723"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28.9 </w:t>
            </w:r>
          </w:p>
        </w:tc>
        <w:tc>
          <w:tcPr>
            <w:tcW w:w="723"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51.0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67.3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78.6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85.8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89.7 </w:t>
            </w:r>
          </w:p>
        </w:tc>
        <w:tc>
          <w:tcPr>
            <w:tcW w:w="722" w:type="dxa"/>
            <w:tcBorders>
              <w:bottom w:val="single" w:sz="4" w:space="0" w:color="auto"/>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91.1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90.7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89.2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87.1 </w:t>
            </w:r>
          </w:p>
        </w:tc>
      </w:tr>
      <w:tr w:rsidR="00642728" w:rsidTr="00E056A4">
        <w:trPr>
          <w:trHeight w:val="300"/>
          <w:jc w:val="center"/>
        </w:trPr>
        <w:tc>
          <w:tcPr>
            <w:tcW w:w="1080" w:type="dxa"/>
            <w:vMerge w:val="restart"/>
            <w:tcBorders>
              <w:top w:val="single" w:sz="4" w:space="0" w:color="auto"/>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INAF</w:t>
            </w:r>
          </w:p>
        </w:tc>
        <w:tc>
          <w:tcPr>
            <w:tcW w:w="640"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2014</w:t>
            </w:r>
          </w:p>
        </w:tc>
        <w:tc>
          <w:tcPr>
            <w:tcW w:w="332"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 </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5.8 </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10.3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13.6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15.9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17.3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18.1 </w:t>
            </w:r>
          </w:p>
        </w:tc>
        <w:tc>
          <w:tcPr>
            <w:tcW w:w="722" w:type="dxa"/>
            <w:tcBorders>
              <w:top w:val="single" w:sz="4" w:space="0" w:color="auto"/>
              <w:bottom w:val="nil"/>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18.4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18.3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18.0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17.6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2015</w:t>
            </w:r>
          </w:p>
        </w:tc>
        <w:tc>
          <w:tcPr>
            <w:tcW w:w="332"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271 </w:t>
            </w:r>
          </w:p>
        </w:tc>
        <w:tc>
          <w:tcPr>
            <w:tcW w:w="723"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1,438 </w:t>
            </w:r>
          </w:p>
        </w:tc>
        <w:tc>
          <w:tcPr>
            <w:tcW w:w="723"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2,537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3,345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3,907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4,265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4,461 </w:t>
            </w:r>
          </w:p>
        </w:tc>
        <w:tc>
          <w:tcPr>
            <w:tcW w:w="722" w:type="dxa"/>
            <w:tcBorders>
              <w:top w:val="nil"/>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4,532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4,513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4,437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4,333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419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2,223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3,922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5,170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6,038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6,592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6,895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7,005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6,975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6,857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6,697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73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387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683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901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1,052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1,148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1,201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1,220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1,215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1,194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1,167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32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169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298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393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460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502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525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533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531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522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510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332"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192 </w:t>
            </w:r>
          </w:p>
        </w:tc>
        <w:tc>
          <w:tcPr>
            <w:tcW w:w="723"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1,022 </w:t>
            </w:r>
          </w:p>
        </w:tc>
        <w:tc>
          <w:tcPr>
            <w:tcW w:w="723"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1,802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2,376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2,775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3,030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3,169 </w:t>
            </w:r>
          </w:p>
        </w:tc>
        <w:tc>
          <w:tcPr>
            <w:tcW w:w="722" w:type="dxa"/>
            <w:tcBorders>
              <w:bottom w:val="single" w:sz="4" w:space="0" w:color="auto"/>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3,219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3,206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3,152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3,078 </w:t>
            </w:r>
          </w:p>
        </w:tc>
      </w:tr>
      <w:tr w:rsidR="00642728" w:rsidTr="00E056A4">
        <w:trPr>
          <w:trHeight w:val="300"/>
          <w:jc w:val="center"/>
        </w:trPr>
        <w:tc>
          <w:tcPr>
            <w:tcW w:w="1080" w:type="dxa"/>
            <w:vMerge w:val="restart"/>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KAEF</w:t>
            </w:r>
          </w:p>
        </w:tc>
        <w:tc>
          <w:tcPr>
            <w:tcW w:w="640"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2014</w:t>
            </w:r>
          </w:p>
        </w:tc>
        <w:tc>
          <w:tcPr>
            <w:tcW w:w="332"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2,815 </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14,951 </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26,373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34,767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40,605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44,332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46,369 </w:t>
            </w:r>
          </w:p>
        </w:tc>
        <w:tc>
          <w:tcPr>
            <w:tcW w:w="722" w:type="dxa"/>
            <w:tcBorders>
              <w:top w:val="single" w:sz="4" w:space="0" w:color="auto"/>
              <w:bottom w:val="nil"/>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47,107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46,910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46,116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45,036 </w:t>
            </w:r>
          </w:p>
        </w:tc>
      </w:tr>
      <w:tr w:rsidR="00642728" w:rsidTr="00E056A4">
        <w:trPr>
          <w:trHeight w:val="300"/>
          <w:jc w:val="center"/>
        </w:trPr>
        <w:tc>
          <w:tcPr>
            <w:tcW w:w="1080" w:type="dxa"/>
            <w:vMerge/>
            <w:tcBorders>
              <w:top w:val="nil"/>
              <w:bottom w:val="nil"/>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2015</w:t>
            </w:r>
          </w:p>
        </w:tc>
        <w:tc>
          <w:tcPr>
            <w:tcW w:w="332"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205 </w:t>
            </w:r>
          </w:p>
        </w:tc>
        <w:tc>
          <w:tcPr>
            <w:tcW w:w="723"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1,086 </w:t>
            </w:r>
          </w:p>
        </w:tc>
        <w:tc>
          <w:tcPr>
            <w:tcW w:w="723"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1,917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2,526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2,951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3,222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3,370 </w:t>
            </w:r>
          </w:p>
        </w:tc>
        <w:tc>
          <w:tcPr>
            <w:tcW w:w="722" w:type="dxa"/>
            <w:tcBorders>
              <w:top w:val="nil"/>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3,423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3,409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3,351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3,273 </w:t>
            </w:r>
          </w:p>
        </w:tc>
      </w:tr>
      <w:tr w:rsidR="00642728" w:rsidTr="00E056A4">
        <w:trPr>
          <w:trHeight w:val="300"/>
          <w:jc w:val="center"/>
        </w:trPr>
        <w:tc>
          <w:tcPr>
            <w:tcW w:w="1080" w:type="dxa"/>
            <w:vMerge/>
            <w:tcBorders>
              <w:top w:val="nil"/>
              <w:bottom w:val="nil"/>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57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133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178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173 </w:t>
            </w:r>
          </w:p>
        </w:tc>
      </w:tr>
      <w:tr w:rsidR="00642728" w:rsidTr="00E056A4">
        <w:trPr>
          <w:trHeight w:val="300"/>
          <w:jc w:val="center"/>
        </w:trPr>
        <w:tc>
          <w:tcPr>
            <w:tcW w:w="1080" w:type="dxa"/>
            <w:vMerge/>
            <w:tcBorders>
              <w:top w:val="nil"/>
              <w:bottom w:val="nil"/>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183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970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1,711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2,255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2,634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2,876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3,008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3,056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3,043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2,991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2,921 </w:t>
            </w:r>
          </w:p>
        </w:tc>
      </w:tr>
      <w:tr w:rsidR="00642728" w:rsidTr="00E056A4">
        <w:trPr>
          <w:trHeight w:val="300"/>
          <w:jc w:val="center"/>
        </w:trPr>
        <w:tc>
          <w:tcPr>
            <w:tcW w:w="1080" w:type="dxa"/>
            <w:vMerge/>
            <w:tcBorders>
              <w:top w:val="nil"/>
              <w:bottom w:val="nil"/>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526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2,794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4,929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6,498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7,589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8,286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8,667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8,805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8,768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8,619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8,418 </w:t>
            </w:r>
          </w:p>
        </w:tc>
      </w:tr>
      <w:tr w:rsidR="00642728" w:rsidTr="00C7392A">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761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4,040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7,127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9,395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10,972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11,980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12,530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12,729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12,676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12,462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12,170 </w:t>
            </w:r>
          </w:p>
        </w:tc>
      </w:tr>
      <w:tr w:rsidR="00642728" w:rsidTr="00C7392A">
        <w:trPr>
          <w:trHeight w:val="300"/>
          <w:jc w:val="center"/>
        </w:trPr>
        <w:tc>
          <w:tcPr>
            <w:tcW w:w="1080" w:type="dxa"/>
            <w:vMerge w:val="restart"/>
            <w:tcBorders>
              <w:top w:val="single" w:sz="4" w:space="0" w:color="auto"/>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KLBF</w:t>
            </w: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2014</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59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312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550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725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846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924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966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982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978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961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939 </w:t>
            </w:r>
          </w:p>
        </w:tc>
      </w:tr>
      <w:tr w:rsidR="00642728" w:rsidTr="00C7392A">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2015</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51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159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162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161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155 </w:t>
            </w:r>
          </w:p>
        </w:tc>
      </w:tr>
      <w:tr w:rsidR="00642728" w:rsidTr="00C7392A">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108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576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1,016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1,339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1,564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1,708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1,786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1,815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1,807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1,777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1,735 </w:t>
            </w:r>
          </w:p>
        </w:tc>
      </w:tr>
      <w:tr w:rsidR="00642728" w:rsidTr="00C7392A">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863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4,583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8,084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10,657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12,446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13,589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14,213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14,439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14,379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14,136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13,805 </w:t>
            </w:r>
          </w:p>
        </w:tc>
      </w:tr>
      <w:tr w:rsidR="00642728" w:rsidTr="00C7392A">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62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331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583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769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898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980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1,025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1,041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1,037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1,019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996 </w:t>
            </w:r>
          </w:p>
        </w:tc>
      </w:tr>
      <w:tr w:rsidR="00642728" w:rsidTr="00C7392A">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332"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 </w:t>
            </w:r>
          </w:p>
        </w:tc>
        <w:tc>
          <w:tcPr>
            <w:tcW w:w="723"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 </w:t>
            </w:r>
          </w:p>
        </w:tc>
        <w:tc>
          <w:tcPr>
            <w:tcW w:w="723"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27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35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41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45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47 </w:t>
            </w:r>
          </w:p>
        </w:tc>
        <w:tc>
          <w:tcPr>
            <w:tcW w:w="722" w:type="dxa"/>
            <w:tcBorders>
              <w:bottom w:val="single" w:sz="4" w:space="0" w:color="auto"/>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48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47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47 </w:t>
            </w:r>
          </w:p>
        </w:tc>
        <w:tc>
          <w:tcPr>
            <w:tcW w:w="722" w:type="dxa"/>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46 </w:t>
            </w:r>
          </w:p>
        </w:tc>
      </w:tr>
      <w:tr w:rsidR="00642728" w:rsidTr="00E056A4">
        <w:trPr>
          <w:trHeight w:val="300"/>
          <w:jc w:val="center"/>
        </w:trPr>
        <w:tc>
          <w:tcPr>
            <w:tcW w:w="1080" w:type="dxa"/>
            <w:vMerge w:val="restart"/>
            <w:tcBorders>
              <w:top w:val="single" w:sz="4" w:space="0" w:color="auto"/>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MERK</w:t>
            </w:r>
          </w:p>
        </w:tc>
        <w:tc>
          <w:tcPr>
            <w:tcW w:w="640"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2014</w:t>
            </w:r>
          </w:p>
        </w:tc>
        <w:tc>
          <w:tcPr>
            <w:tcW w:w="332"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80 </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424 </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747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985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1,151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1,256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1,314 </w:t>
            </w:r>
          </w:p>
        </w:tc>
        <w:tc>
          <w:tcPr>
            <w:tcW w:w="722" w:type="dxa"/>
            <w:tcBorders>
              <w:top w:val="single" w:sz="4" w:space="0" w:color="auto"/>
              <w:bottom w:val="nil"/>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1,335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1,329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1,307 </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1,276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2015</w:t>
            </w:r>
          </w:p>
        </w:tc>
        <w:tc>
          <w:tcPr>
            <w:tcW w:w="332"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235 </w:t>
            </w:r>
          </w:p>
        </w:tc>
        <w:tc>
          <w:tcPr>
            <w:tcW w:w="723"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1,247 </w:t>
            </w:r>
          </w:p>
        </w:tc>
        <w:tc>
          <w:tcPr>
            <w:tcW w:w="723"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2,199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2,899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3,386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3,697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3,867 </w:t>
            </w:r>
          </w:p>
        </w:tc>
        <w:tc>
          <w:tcPr>
            <w:tcW w:w="722" w:type="dxa"/>
            <w:tcBorders>
              <w:top w:val="nil"/>
            </w:tcBorders>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3,929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3,912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3,846 </w:t>
            </w:r>
          </w:p>
        </w:tc>
        <w:tc>
          <w:tcPr>
            <w:tcW w:w="722"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3,756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294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1,560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2,751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3,627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4,236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4,624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4,837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4,914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4,893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4,810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4,698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93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492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868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1,144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1,336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1,458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1,525 </w:t>
            </w:r>
          </w:p>
        </w:tc>
        <w:tc>
          <w:tcPr>
            <w:tcW w:w="722" w:type="dxa"/>
            <w:shd w:val="clear" w:color="auto" w:fill="00B050"/>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1,550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1,543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1,517 </w:t>
            </w:r>
          </w:p>
        </w:tc>
        <w:tc>
          <w:tcPr>
            <w:tcW w:w="722" w:type="dxa"/>
            <w:shd w:val="clear" w:color="auto" w:fill="auto"/>
            <w:vAlign w:val="center"/>
          </w:tcPr>
          <w:p w:rsidR="00642728" w:rsidRDefault="00A30734" w:rsidP="00F525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1,481 </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8.3</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w:t>
            </w:r>
          </w:p>
        </w:tc>
        <w:tc>
          <w:tcPr>
            <w:tcW w:w="722" w:type="dxa"/>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332"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175</w:t>
            </w:r>
          </w:p>
        </w:tc>
        <w:tc>
          <w:tcPr>
            <w:tcW w:w="723"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929</w:t>
            </w:r>
          </w:p>
        </w:tc>
        <w:tc>
          <w:tcPr>
            <w:tcW w:w="723"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1,639</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2,161</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2,523</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2,755</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2,882</w:t>
            </w:r>
          </w:p>
        </w:tc>
        <w:tc>
          <w:tcPr>
            <w:tcW w:w="722" w:type="dxa"/>
            <w:tcBorders>
              <w:bottom w:val="single" w:sz="4" w:space="0" w:color="auto"/>
            </w:tcBorders>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2,927</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2,915</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2,866</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2,799</w:t>
            </w:r>
          </w:p>
        </w:tc>
      </w:tr>
      <w:tr w:rsidR="00642728" w:rsidTr="00E056A4">
        <w:trPr>
          <w:trHeight w:val="300"/>
          <w:jc w:val="center"/>
        </w:trPr>
        <w:tc>
          <w:tcPr>
            <w:tcW w:w="1080" w:type="dxa"/>
            <w:vMerge w:val="restart"/>
            <w:tcBorders>
              <w:top w:val="single" w:sz="4" w:space="0" w:color="auto"/>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PYFA</w:t>
            </w:r>
          </w:p>
        </w:tc>
        <w:tc>
          <w:tcPr>
            <w:tcW w:w="640"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2014</w:t>
            </w:r>
          </w:p>
        </w:tc>
        <w:tc>
          <w:tcPr>
            <w:tcW w:w="332"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1,088</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5,779</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10,195</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13,439</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15,696</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17,137</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17,924</w:t>
            </w:r>
          </w:p>
        </w:tc>
        <w:tc>
          <w:tcPr>
            <w:tcW w:w="722" w:type="dxa"/>
            <w:tcBorders>
              <w:top w:val="single" w:sz="4" w:space="0" w:color="auto"/>
              <w:bottom w:val="nil"/>
            </w:tcBorders>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18,209</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18,133</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17,826</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17,409</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2015</w:t>
            </w:r>
          </w:p>
        </w:tc>
        <w:tc>
          <w:tcPr>
            <w:tcW w:w="332"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723"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w:t>
            </w:r>
          </w:p>
        </w:tc>
        <w:tc>
          <w:tcPr>
            <w:tcW w:w="723"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184</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215</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235</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245</w:t>
            </w:r>
          </w:p>
        </w:tc>
        <w:tc>
          <w:tcPr>
            <w:tcW w:w="722" w:type="dxa"/>
            <w:tcBorders>
              <w:top w:val="nil"/>
            </w:tcBorders>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249</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248</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244</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238</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37.1</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48.9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57.1</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62.3</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65.2</w:t>
            </w:r>
          </w:p>
        </w:tc>
        <w:tc>
          <w:tcPr>
            <w:tcW w:w="722" w:type="dxa"/>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66.2</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64.8</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63.3</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317</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737</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861</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940</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983</w:t>
            </w:r>
          </w:p>
        </w:tc>
        <w:tc>
          <w:tcPr>
            <w:tcW w:w="722" w:type="dxa"/>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999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994</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978</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955</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218</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1,156</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2,039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2,688</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3,140</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3,428</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3,586</w:t>
            </w:r>
          </w:p>
        </w:tc>
        <w:tc>
          <w:tcPr>
            <w:tcW w:w="722" w:type="dxa"/>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3,643</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3,627</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3,566</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3,482</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332" w:type="dxa"/>
            <w:tcBorders>
              <w:bottom w:val="single" w:sz="4" w:space="0" w:color="auto"/>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216</w:t>
            </w:r>
          </w:p>
        </w:tc>
        <w:tc>
          <w:tcPr>
            <w:tcW w:w="723"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1,147</w:t>
            </w:r>
          </w:p>
        </w:tc>
        <w:tc>
          <w:tcPr>
            <w:tcW w:w="723"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2,022</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2,666</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3,114</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3,400</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3,556</w:t>
            </w:r>
          </w:p>
        </w:tc>
        <w:tc>
          <w:tcPr>
            <w:tcW w:w="722" w:type="dxa"/>
            <w:tcBorders>
              <w:bottom w:val="single" w:sz="4" w:space="0" w:color="auto"/>
            </w:tcBorders>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3,612</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3,597</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3,537</w:t>
            </w:r>
          </w:p>
        </w:tc>
        <w:tc>
          <w:tcPr>
            <w:tcW w:w="722" w:type="dxa"/>
            <w:tcBorders>
              <w:bottom w:val="single" w:sz="4" w:space="0" w:color="auto"/>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3,454</w:t>
            </w:r>
          </w:p>
        </w:tc>
      </w:tr>
      <w:tr w:rsidR="00642728" w:rsidTr="00E056A4">
        <w:trPr>
          <w:trHeight w:val="300"/>
          <w:jc w:val="center"/>
        </w:trPr>
        <w:tc>
          <w:tcPr>
            <w:tcW w:w="1080" w:type="dxa"/>
            <w:vMerge w:val="restart"/>
            <w:tcBorders>
              <w:top w:val="single" w:sz="4" w:space="0" w:color="auto"/>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SCPI</w:t>
            </w:r>
          </w:p>
        </w:tc>
        <w:tc>
          <w:tcPr>
            <w:tcW w:w="640"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2014</w:t>
            </w:r>
          </w:p>
        </w:tc>
        <w:tc>
          <w:tcPr>
            <w:tcW w:w="332" w:type="dxa"/>
            <w:tcBorders>
              <w:top w:val="single" w:sz="4" w:space="0" w:color="auto"/>
              <w:bottom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385</w:t>
            </w:r>
          </w:p>
        </w:tc>
        <w:tc>
          <w:tcPr>
            <w:tcW w:w="723"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680</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896</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1,047</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1,143</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1,195</w:t>
            </w:r>
          </w:p>
        </w:tc>
        <w:tc>
          <w:tcPr>
            <w:tcW w:w="722" w:type="dxa"/>
            <w:tcBorders>
              <w:top w:val="single" w:sz="4" w:space="0" w:color="auto"/>
              <w:bottom w:val="nil"/>
            </w:tcBorders>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1,214</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1,209</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1,189</w:t>
            </w:r>
          </w:p>
        </w:tc>
        <w:tc>
          <w:tcPr>
            <w:tcW w:w="722" w:type="dxa"/>
            <w:tcBorders>
              <w:top w:val="single" w:sz="4" w:space="0" w:color="auto"/>
              <w:bottom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1,161</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2015</w:t>
            </w:r>
          </w:p>
        </w:tc>
        <w:tc>
          <w:tcPr>
            <w:tcW w:w="332" w:type="dxa"/>
            <w:tcBorders>
              <w:top w:val="nil"/>
            </w:tcBorders>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w:t>
            </w:r>
          </w:p>
        </w:tc>
        <w:tc>
          <w:tcPr>
            <w:tcW w:w="723"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w:t>
            </w:r>
          </w:p>
        </w:tc>
        <w:tc>
          <w:tcPr>
            <w:tcW w:w="723"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4.2</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w:t>
            </w:r>
          </w:p>
        </w:tc>
        <w:tc>
          <w:tcPr>
            <w:tcW w:w="722" w:type="dxa"/>
            <w:tcBorders>
              <w:top w:val="nil"/>
            </w:tcBorders>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7.4</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w:t>
            </w:r>
          </w:p>
        </w:tc>
        <w:tc>
          <w:tcPr>
            <w:tcW w:w="722" w:type="dxa"/>
            <w:tcBorders>
              <w:top w:val="nil"/>
            </w:tcBorders>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154</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816</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1,439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1,897</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2,216</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2,420</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2,531</w:t>
            </w:r>
          </w:p>
        </w:tc>
        <w:tc>
          <w:tcPr>
            <w:tcW w:w="722" w:type="dxa"/>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2,571</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2,560</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2,517</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2,458</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888</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4,718</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8,322</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10,971</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12,813</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13,989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14,632</w:t>
            </w:r>
          </w:p>
        </w:tc>
        <w:tc>
          <w:tcPr>
            <w:tcW w:w="722" w:type="dxa"/>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14,865</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14,803</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14,552</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14,211</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68.8</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121.3</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159.9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186.7</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203.9</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213.2</w:t>
            </w:r>
          </w:p>
        </w:tc>
        <w:tc>
          <w:tcPr>
            <w:tcW w:w="722" w:type="dxa"/>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216.6</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215.7</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212.1</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207.1</w:t>
            </w:r>
          </w:p>
        </w:tc>
      </w:tr>
      <w:tr w:rsidR="00642728" w:rsidTr="00E056A4">
        <w:trPr>
          <w:trHeight w:val="300"/>
          <w:jc w:val="center"/>
        </w:trPr>
        <w:tc>
          <w:tcPr>
            <w:tcW w:w="1080" w:type="dxa"/>
            <w:vMerge/>
            <w:tcBorders>
              <w:top w:val="nil"/>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332" w:type="dxa"/>
            <w:shd w:val="clear" w:color="auto" w:fill="auto"/>
            <w:vAlign w:val="bottom"/>
          </w:tcPr>
          <w:p w:rsidR="00642728" w:rsidRDefault="00A30734" w:rsidP="00F525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18"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723"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w:t>
            </w:r>
          </w:p>
        </w:tc>
        <w:tc>
          <w:tcPr>
            <w:tcW w:w="722" w:type="dxa"/>
            <w:shd w:val="clear" w:color="auto" w:fill="00B050"/>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w:t>
            </w:r>
          </w:p>
        </w:tc>
        <w:tc>
          <w:tcPr>
            <w:tcW w:w="722" w:type="dxa"/>
            <w:shd w:val="clear" w:color="auto" w:fill="auto"/>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lang w:val="id-ID"/>
              </w:rPr>
            </w:pPr>
            <w:r>
              <w:rPr>
                <w:rFonts w:ascii="Times New Roman" w:eastAsia="Times New Roman" w:hAnsi="Times New Roman" w:cs="Times New Roman"/>
                <w:color w:val="000000"/>
                <w:sz w:val="16"/>
                <w:szCs w:val="16"/>
              </w:rPr>
              <w:t>61</w:t>
            </w:r>
          </w:p>
          <w:p w:rsidR="00DA5579" w:rsidRPr="00DA5579" w:rsidRDefault="00DA5579" w:rsidP="00F525EF">
            <w:pPr>
              <w:spacing w:after="0" w:line="240" w:lineRule="auto"/>
              <w:jc w:val="right"/>
              <w:rPr>
                <w:rFonts w:ascii="Times New Roman" w:eastAsia="Times New Roman" w:hAnsi="Times New Roman" w:cs="Times New Roman"/>
                <w:color w:val="000000"/>
                <w:sz w:val="16"/>
                <w:szCs w:val="16"/>
                <w:lang w:val="id-ID"/>
              </w:rPr>
            </w:pPr>
          </w:p>
        </w:tc>
      </w:tr>
    </w:tbl>
    <w:tbl>
      <w:tblPr>
        <w:tblStyle w:val="a2"/>
        <w:tblW w:w="9892" w:type="dxa"/>
        <w:jc w:val="center"/>
        <w:tblInd w:w="93" w:type="dxa"/>
        <w:tblBorders>
          <w:bottom w:val="single" w:sz="4" w:space="0" w:color="auto"/>
        </w:tblBorders>
        <w:tblLayout w:type="fixed"/>
        <w:tblLook w:val="0400" w:firstRow="0" w:lastRow="0" w:firstColumn="0" w:lastColumn="0" w:noHBand="0" w:noVBand="1"/>
      </w:tblPr>
      <w:tblGrid>
        <w:gridCol w:w="1080"/>
        <w:gridCol w:w="640"/>
        <w:gridCol w:w="332"/>
        <w:gridCol w:w="640"/>
        <w:gridCol w:w="720"/>
        <w:gridCol w:w="720"/>
        <w:gridCol w:w="720"/>
        <w:gridCol w:w="720"/>
        <w:gridCol w:w="720"/>
        <w:gridCol w:w="720"/>
        <w:gridCol w:w="720"/>
        <w:gridCol w:w="720"/>
        <w:gridCol w:w="720"/>
        <w:gridCol w:w="720"/>
      </w:tblGrid>
      <w:tr w:rsidR="00DA5579" w:rsidTr="00E056A4">
        <w:trPr>
          <w:trHeight w:val="300"/>
          <w:jc w:val="center"/>
        </w:trPr>
        <w:tc>
          <w:tcPr>
            <w:tcW w:w="1080" w:type="dxa"/>
            <w:vMerge w:val="restart"/>
            <w:tcBorders>
              <w:top w:val="single" w:sz="4" w:space="0" w:color="auto"/>
              <w:bottom w:val="single" w:sz="4" w:space="0" w:color="auto"/>
            </w:tcBorders>
            <w:shd w:val="clear" w:color="auto" w:fill="auto"/>
            <w:vAlign w:val="center"/>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TSPC</w:t>
            </w:r>
          </w:p>
        </w:tc>
        <w:tc>
          <w:tcPr>
            <w:tcW w:w="640"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2014</w:t>
            </w:r>
          </w:p>
        </w:tc>
        <w:tc>
          <w:tcPr>
            <w:tcW w:w="332"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4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839</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4,459</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7,865</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10,368</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12,109</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13,221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13,828</w:t>
            </w:r>
          </w:p>
        </w:tc>
        <w:tc>
          <w:tcPr>
            <w:tcW w:w="720" w:type="dxa"/>
            <w:shd w:val="clear" w:color="auto" w:fill="00B050"/>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14,048</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13,990</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13,753</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13,431</w:t>
            </w:r>
          </w:p>
        </w:tc>
      </w:tr>
      <w:tr w:rsidR="00DA5579" w:rsidTr="00E056A4">
        <w:trPr>
          <w:trHeight w:val="300"/>
          <w:jc w:val="center"/>
        </w:trPr>
        <w:tc>
          <w:tcPr>
            <w:tcW w:w="1080" w:type="dxa"/>
            <w:vMerge/>
            <w:tcBorders>
              <w:top w:val="single" w:sz="4" w:space="0" w:color="auto"/>
              <w:bottom w:val="single" w:sz="4" w:space="0" w:color="auto"/>
            </w:tcBorders>
            <w:shd w:val="clear" w:color="auto" w:fill="auto"/>
            <w:vAlign w:val="center"/>
          </w:tcPr>
          <w:p w:rsidR="00DA5579" w:rsidRDefault="00DA5579" w:rsidP="003F54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2015</w:t>
            </w:r>
          </w:p>
        </w:tc>
        <w:tc>
          <w:tcPr>
            <w:tcW w:w="332"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4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172</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304</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468</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535</w:t>
            </w:r>
          </w:p>
        </w:tc>
        <w:tc>
          <w:tcPr>
            <w:tcW w:w="720" w:type="dxa"/>
            <w:shd w:val="clear" w:color="auto" w:fill="00B050"/>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543</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532</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519</w:t>
            </w:r>
          </w:p>
        </w:tc>
      </w:tr>
      <w:tr w:rsidR="00DA5579" w:rsidTr="00E056A4">
        <w:trPr>
          <w:trHeight w:val="300"/>
          <w:jc w:val="center"/>
        </w:trPr>
        <w:tc>
          <w:tcPr>
            <w:tcW w:w="1080" w:type="dxa"/>
            <w:vMerge/>
            <w:tcBorders>
              <w:top w:val="single" w:sz="4" w:space="0" w:color="auto"/>
              <w:bottom w:val="single" w:sz="4" w:space="0" w:color="auto"/>
            </w:tcBorders>
            <w:shd w:val="clear" w:color="auto" w:fill="auto"/>
            <w:vAlign w:val="center"/>
          </w:tcPr>
          <w:p w:rsidR="00DA5579" w:rsidRDefault="00DA5579" w:rsidP="003F54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2016</w:t>
            </w:r>
          </w:p>
        </w:tc>
        <w:tc>
          <w:tcPr>
            <w:tcW w:w="332"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4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19.3</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44.9</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52.5</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57.3</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59.9</w:t>
            </w:r>
          </w:p>
        </w:tc>
        <w:tc>
          <w:tcPr>
            <w:tcW w:w="720" w:type="dxa"/>
            <w:shd w:val="clear" w:color="auto" w:fill="00B050"/>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60.9</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60.6</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59.6</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58.2</w:t>
            </w:r>
          </w:p>
        </w:tc>
      </w:tr>
      <w:tr w:rsidR="00DA5579" w:rsidTr="00E056A4">
        <w:trPr>
          <w:trHeight w:val="300"/>
          <w:jc w:val="center"/>
        </w:trPr>
        <w:tc>
          <w:tcPr>
            <w:tcW w:w="1080" w:type="dxa"/>
            <w:vMerge/>
            <w:tcBorders>
              <w:top w:val="single" w:sz="4" w:space="0" w:color="auto"/>
              <w:bottom w:val="single" w:sz="4" w:space="0" w:color="auto"/>
            </w:tcBorders>
            <w:shd w:val="clear" w:color="auto" w:fill="auto"/>
            <w:vAlign w:val="center"/>
          </w:tcPr>
          <w:p w:rsidR="00DA5579" w:rsidRDefault="00DA5579" w:rsidP="003F54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332"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4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42</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224</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395</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608</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664</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695</w:t>
            </w:r>
          </w:p>
        </w:tc>
        <w:tc>
          <w:tcPr>
            <w:tcW w:w="720" w:type="dxa"/>
            <w:shd w:val="clear" w:color="auto" w:fill="00B050"/>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706</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703</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675</w:t>
            </w:r>
          </w:p>
        </w:tc>
      </w:tr>
      <w:tr w:rsidR="00DA5579" w:rsidTr="00E056A4">
        <w:trPr>
          <w:trHeight w:val="300"/>
          <w:jc w:val="center"/>
        </w:trPr>
        <w:tc>
          <w:tcPr>
            <w:tcW w:w="1080" w:type="dxa"/>
            <w:vMerge/>
            <w:tcBorders>
              <w:top w:val="single" w:sz="4" w:space="0" w:color="auto"/>
              <w:bottom w:val="single" w:sz="4" w:space="0" w:color="auto"/>
            </w:tcBorders>
            <w:shd w:val="clear" w:color="auto" w:fill="auto"/>
            <w:vAlign w:val="center"/>
          </w:tcPr>
          <w:p w:rsidR="00DA5579" w:rsidRDefault="00DA5579" w:rsidP="003F54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2018</w:t>
            </w:r>
          </w:p>
        </w:tc>
        <w:tc>
          <w:tcPr>
            <w:tcW w:w="332"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4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260</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1,381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2,437</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3,212</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3,752</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4,096</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4,285</w:t>
            </w:r>
          </w:p>
        </w:tc>
        <w:tc>
          <w:tcPr>
            <w:tcW w:w="720" w:type="dxa"/>
            <w:shd w:val="clear" w:color="auto" w:fill="00B050"/>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4,353</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4,334</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4,261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4,161</w:t>
            </w:r>
          </w:p>
        </w:tc>
      </w:tr>
      <w:tr w:rsidR="00DA5579" w:rsidTr="00E056A4">
        <w:trPr>
          <w:trHeight w:val="300"/>
          <w:jc w:val="center"/>
        </w:trPr>
        <w:tc>
          <w:tcPr>
            <w:tcW w:w="1080" w:type="dxa"/>
            <w:vMerge/>
            <w:tcBorders>
              <w:top w:val="single" w:sz="4" w:space="0" w:color="auto"/>
              <w:bottom w:val="single" w:sz="4" w:space="0" w:color="auto"/>
            </w:tcBorders>
            <w:shd w:val="clear" w:color="auto" w:fill="auto"/>
            <w:vAlign w:val="center"/>
          </w:tcPr>
          <w:p w:rsidR="00DA5579" w:rsidRDefault="00DA5579" w:rsidP="003F54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640"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p>
        </w:tc>
        <w:tc>
          <w:tcPr>
            <w:tcW w:w="332" w:type="dxa"/>
            <w:shd w:val="clear" w:color="auto" w:fill="auto"/>
            <w:vAlign w:val="bottom"/>
          </w:tcPr>
          <w:p w:rsidR="00DA5579" w:rsidRDefault="00DA5579" w:rsidP="003F545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w:t>
            </w:r>
          </w:p>
        </w:tc>
        <w:tc>
          <w:tcPr>
            <w:tcW w:w="64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1,175</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2,073</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2,732</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3,191</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3,484</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3,644</w:t>
            </w:r>
          </w:p>
        </w:tc>
        <w:tc>
          <w:tcPr>
            <w:tcW w:w="720" w:type="dxa"/>
            <w:shd w:val="clear" w:color="auto" w:fill="00B050"/>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3,702</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3,687</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3,624</w:t>
            </w:r>
          </w:p>
        </w:tc>
        <w:tc>
          <w:tcPr>
            <w:tcW w:w="720" w:type="dxa"/>
            <w:shd w:val="clear" w:color="auto" w:fill="auto"/>
            <w:vAlign w:val="center"/>
          </w:tcPr>
          <w:p w:rsidR="00DA5579" w:rsidRDefault="00DA5579" w:rsidP="003F545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3,539</w:t>
            </w:r>
          </w:p>
        </w:tc>
      </w:tr>
    </w:tbl>
    <w:p w:rsidR="00642728" w:rsidRPr="00E056A4" w:rsidRDefault="00A30734" w:rsidP="00E056A4">
      <w:pPr>
        <w:widowControl w:val="0"/>
        <w:pBdr>
          <w:top w:val="nil"/>
          <w:left w:val="nil"/>
          <w:bottom w:val="nil"/>
          <w:right w:val="nil"/>
          <w:between w:val="nil"/>
        </w:pBdr>
        <w:spacing w:after="0" w:line="240" w:lineRule="auto"/>
        <w:ind w:left="-709" w:hanging="421"/>
        <w:rPr>
          <w:rFonts w:ascii="Times New Roman" w:eastAsia="Times New Roman" w:hAnsi="Times New Roman" w:cs="Times New Roman"/>
          <w:b/>
          <w:color w:val="000000"/>
          <w:sz w:val="20"/>
          <w:szCs w:val="20"/>
        </w:rPr>
      </w:pPr>
      <w:r w:rsidRPr="00E056A4">
        <w:rPr>
          <w:rFonts w:ascii="Times New Roman" w:eastAsia="Times New Roman" w:hAnsi="Times New Roman" w:cs="Times New Roman"/>
          <w:b/>
          <w:color w:val="000000"/>
          <w:sz w:val="20"/>
          <w:szCs w:val="20"/>
        </w:rPr>
        <w:t>Source: Research Results</w:t>
      </w:r>
    </w:p>
    <w:p w:rsidR="00E056A4" w:rsidRDefault="00A30734" w:rsidP="00F525EF">
      <w:pPr>
        <w:widowControl w:val="0"/>
        <w:pBdr>
          <w:top w:val="nil"/>
          <w:left w:val="nil"/>
          <w:bottom w:val="nil"/>
          <w:right w:val="nil"/>
          <w:between w:val="nil"/>
        </w:pBdr>
        <w:tabs>
          <w:tab w:val="left" w:pos="709"/>
        </w:tabs>
        <w:spacing w:after="0" w:line="240" w:lineRule="auto"/>
        <w:ind w:left="709" w:hanging="421"/>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42728" w:rsidRDefault="00A30734" w:rsidP="00E056A4">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The maximum firm value with financial distress cost is at the point of 30% of the debt. The company's value has indeed increased due to the effect of the tax benefit from the loan (debt). However, firm value does not always rise to the end because of the impact of financial distress costs. There is a point where the company's value has decreased again even though the level of debt is increased; this is because the financial distress cost continues to increase and even its value has exceeded the tax benefits obtained by the company through the debt.</w:t>
      </w:r>
    </w:p>
    <w:p w:rsidR="00C7392A" w:rsidRDefault="00C7392A" w:rsidP="00C7392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p>
    <w:p w:rsidR="00C7392A" w:rsidRDefault="00A30734" w:rsidP="00C7392A">
      <w:pPr>
        <w:widowControl w:val="0"/>
        <w:pBdr>
          <w:top w:val="nil"/>
          <w:left w:val="nil"/>
          <w:bottom w:val="nil"/>
          <w:right w:val="nil"/>
          <w:between w:val="nil"/>
        </w:pBdr>
        <w:spacing w:after="120" w:line="240" w:lineRule="auto"/>
        <w:jc w:val="both"/>
        <w:rPr>
          <w:b/>
          <w:color w:val="000000"/>
          <w:sz w:val="24"/>
          <w:szCs w:val="24"/>
          <w:lang w:val="id-ID"/>
        </w:rPr>
      </w:pPr>
      <w:r>
        <w:rPr>
          <w:rFonts w:ascii="Times New Roman" w:eastAsia="Times New Roman" w:hAnsi="Times New Roman" w:cs="Times New Roman"/>
          <w:b/>
          <w:color w:val="000000"/>
          <w:sz w:val="24"/>
          <w:szCs w:val="24"/>
        </w:rPr>
        <w:lastRenderedPageBreak/>
        <w:t>Altman Z-Score</w:t>
      </w:r>
    </w:p>
    <w:p w:rsidR="00642728" w:rsidRDefault="00A30734" w:rsidP="00C7392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To see whether the pharmaceutical sub-sector companies have a high risk of default or not, you can use the measurement with the Altman Z-Score tool for pharmaceutical sub-sector companies based on the data in the company's financial statements for 2014 - 2019:</w:t>
      </w:r>
    </w:p>
    <w:p w:rsidR="00C7392A" w:rsidRPr="00C7392A" w:rsidRDefault="00C7392A" w:rsidP="00C7392A">
      <w:pPr>
        <w:widowControl w:val="0"/>
        <w:pBdr>
          <w:top w:val="nil"/>
          <w:left w:val="nil"/>
          <w:bottom w:val="nil"/>
          <w:right w:val="nil"/>
          <w:between w:val="nil"/>
        </w:pBdr>
        <w:spacing w:after="0" w:line="240" w:lineRule="auto"/>
        <w:jc w:val="both"/>
        <w:rPr>
          <w:b/>
          <w:color w:val="000000"/>
          <w:sz w:val="24"/>
          <w:szCs w:val="24"/>
          <w:lang w:val="id-ID"/>
        </w:rPr>
      </w:pPr>
    </w:p>
    <w:p w:rsidR="00642728" w:rsidRPr="00C7392A" w:rsidRDefault="00C7392A" w:rsidP="00C7392A">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Table 4</w:t>
      </w:r>
      <w:r>
        <w:rPr>
          <w:rFonts w:ascii="Times New Roman" w:eastAsia="Times New Roman" w:hAnsi="Times New Roman" w:cs="Times New Roman"/>
          <w:i/>
          <w:color w:val="000000"/>
          <w:lang w:val="id-ID"/>
        </w:rPr>
        <w:t>.</w:t>
      </w:r>
      <w:proofErr w:type="gramEnd"/>
      <w:r>
        <w:rPr>
          <w:rFonts w:ascii="Times New Roman" w:eastAsia="Times New Roman" w:hAnsi="Times New Roman" w:cs="Times New Roman"/>
          <w:i/>
          <w:color w:val="000000"/>
          <w:lang w:val="id-ID"/>
        </w:rPr>
        <w:t xml:space="preserve"> </w:t>
      </w:r>
      <w:r w:rsidR="00A30734" w:rsidRPr="00C7392A">
        <w:rPr>
          <w:rFonts w:ascii="Times New Roman" w:eastAsia="Times New Roman" w:hAnsi="Times New Roman" w:cs="Times New Roman"/>
          <w:i/>
          <w:color w:val="000000"/>
        </w:rPr>
        <w:t>Altman Z-Score for Pharmaceutical Sub-Sector Companies in 2014-2019</w:t>
      </w:r>
    </w:p>
    <w:tbl>
      <w:tblPr>
        <w:tblStyle w:val="a3"/>
        <w:tblW w:w="9767" w:type="dxa"/>
        <w:jc w:val="center"/>
        <w:tblInd w:w="93" w:type="dxa"/>
        <w:tblBorders>
          <w:top w:val="single" w:sz="4" w:space="0" w:color="auto"/>
          <w:bottom w:val="single" w:sz="4" w:space="0" w:color="auto"/>
        </w:tblBorders>
        <w:tblLayout w:type="fixed"/>
        <w:tblLook w:val="0400" w:firstRow="0" w:lastRow="0" w:firstColumn="0" w:lastColumn="0" w:noHBand="0" w:noVBand="1"/>
      </w:tblPr>
      <w:tblGrid>
        <w:gridCol w:w="1127"/>
        <w:gridCol w:w="999"/>
        <w:gridCol w:w="632"/>
        <w:gridCol w:w="1249"/>
        <w:gridCol w:w="1074"/>
        <w:gridCol w:w="680"/>
        <w:gridCol w:w="1126"/>
        <w:gridCol w:w="1074"/>
        <w:gridCol w:w="680"/>
        <w:gridCol w:w="1126"/>
      </w:tblGrid>
      <w:tr w:rsidR="00642728" w:rsidTr="00C7392A">
        <w:trPr>
          <w:trHeight w:val="405"/>
          <w:jc w:val="center"/>
        </w:trPr>
        <w:tc>
          <w:tcPr>
            <w:tcW w:w="1127" w:type="dxa"/>
            <w:vMerge w:val="restart"/>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Company Code</w:t>
            </w:r>
          </w:p>
        </w:tc>
        <w:tc>
          <w:tcPr>
            <w:tcW w:w="2880" w:type="dxa"/>
            <w:gridSpan w:val="3"/>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2014</w:t>
            </w:r>
          </w:p>
        </w:tc>
        <w:tc>
          <w:tcPr>
            <w:tcW w:w="2880" w:type="dxa"/>
            <w:gridSpan w:val="3"/>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2015</w:t>
            </w:r>
          </w:p>
        </w:tc>
        <w:tc>
          <w:tcPr>
            <w:tcW w:w="2880" w:type="dxa"/>
            <w:gridSpan w:val="3"/>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2016</w:t>
            </w:r>
          </w:p>
        </w:tc>
      </w:tr>
      <w:tr w:rsidR="00642728" w:rsidTr="00C7392A">
        <w:trPr>
          <w:trHeight w:val="315"/>
          <w:jc w:val="center"/>
        </w:trPr>
        <w:tc>
          <w:tcPr>
            <w:tcW w:w="1127" w:type="dxa"/>
            <w:vMerge/>
            <w:tcBorders>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8"/>
                <w:szCs w:val="18"/>
              </w:rPr>
            </w:pPr>
          </w:p>
        </w:tc>
        <w:tc>
          <w:tcPr>
            <w:tcW w:w="999"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Z-Score</w:t>
            </w:r>
          </w:p>
        </w:tc>
        <w:tc>
          <w:tcPr>
            <w:tcW w:w="632"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w:t>
            </w:r>
          </w:p>
        </w:tc>
        <w:tc>
          <w:tcPr>
            <w:tcW w:w="1249"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proofErr w:type="spellStart"/>
            <w:r>
              <w:rPr>
                <w:rFonts w:ascii="Times New Roman" w:eastAsia="Times New Roman" w:hAnsi="Times New Roman" w:cs="Times New Roman"/>
                <w:b/>
                <w:color w:val="000000"/>
                <w:sz w:val="18"/>
                <w:szCs w:val="18"/>
              </w:rPr>
              <w:t>Prediksi</w:t>
            </w:r>
            <w:proofErr w:type="spellEnd"/>
          </w:p>
        </w:tc>
        <w:tc>
          <w:tcPr>
            <w:tcW w:w="1074"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Z-Score</w:t>
            </w:r>
          </w:p>
        </w:tc>
        <w:tc>
          <w:tcPr>
            <w:tcW w:w="680"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w:t>
            </w:r>
          </w:p>
        </w:tc>
        <w:tc>
          <w:tcPr>
            <w:tcW w:w="1126"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proofErr w:type="spellStart"/>
            <w:r>
              <w:rPr>
                <w:rFonts w:ascii="Times New Roman" w:eastAsia="Times New Roman" w:hAnsi="Times New Roman" w:cs="Times New Roman"/>
                <w:b/>
                <w:color w:val="000000"/>
                <w:sz w:val="18"/>
                <w:szCs w:val="18"/>
              </w:rPr>
              <w:t>Prediksi</w:t>
            </w:r>
            <w:proofErr w:type="spellEnd"/>
          </w:p>
        </w:tc>
        <w:tc>
          <w:tcPr>
            <w:tcW w:w="1074"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Z-Score</w:t>
            </w:r>
          </w:p>
        </w:tc>
        <w:tc>
          <w:tcPr>
            <w:tcW w:w="680"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w:t>
            </w:r>
          </w:p>
        </w:tc>
        <w:tc>
          <w:tcPr>
            <w:tcW w:w="1126"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proofErr w:type="spellStart"/>
            <w:r>
              <w:rPr>
                <w:rFonts w:ascii="Times New Roman" w:eastAsia="Times New Roman" w:hAnsi="Times New Roman" w:cs="Times New Roman"/>
                <w:b/>
                <w:color w:val="000000"/>
                <w:sz w:val="18"/>
                <w:szCs w:val="18"/>
              </w:rPr>
              <w:t>Prediksi</w:t>
            </w:r>
            <w:proofErr w:type="spellEnd"/>
          </w:p>
        </w:tc>
      </w:tr>
      <w:tr w:rsidR="00642728" w:rsidTr="00C7392A">
        <w:trPr>
          <w:trHeight w:val="315"/>
          <w:jc w:val="center"/>
        </w:trPr>
        <w:tc>
          <w:tcPr>
            <w:tcW w:w="1127"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DVLA</w:t>
            </w:r>
          </w:p>
        </w:tc>
        <w:tc>
          <w:tcPr>
            <w:tcW w:w="999"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8.19</w:t>
            </w:r>
          </w:p>
        </w:tc>
        <w:tc>
          <w:tcPr>
            <w:tcW w:w="632" w:type="dxa"/>
            <w:tcBorders>
              <w:top w:val="single" w:sz="4" w:space="0" w:color="auto"/>
              <w:bottom w:val="nil"/>
            </w:tcBorders>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-1.79</w:t>
            </w:r>
          </w:p>
        </w:tc>
        <w:tc>
          <w:tcPr>
            <w:tcW w:w="1249"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6.41</w:t>
            </w:r>
          </w:p>
        </w:tc>
        <w:tc>
          <w:tcPr>
            <w:tcW w:w="680" w:type="dxa"/>
            <w:tcBorders>
              <w:top w:val="single" w:sz="4" w:space="0" w:color="auto"/>
              <w:bottom w:val="nil"/>
            </w:tcBorders>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0.04</w:t>
            </w:r>
          </w:p>
        </w:tc>
        <w:tc>
          <w:tcPr>
            <w:tcW w:w="1126"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6.44</w:t>
            </w:r>
          </w:p>
        </w:tc>
        <w:tc>
          <w:tcPr>
            <w:tcW w:w="680" w:type="dxa"/>
            <w:tcBorders>
              <w:top w:val="single" w:sz="4" w:space="0" w:color="auto"/>
              <w:bottom w:val="nil"/>
            </w:tcBorders>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-0.41</w:t>
            </w:r>
          </w:p>
        </w:tc>
        <w:tc>
          <w:tcPr>
            <w:tcW w:w="1126"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INAF</w:t>
            </w:r>
          </w:p>
        </w:tc>
        <w:tc>
          <w:tcPr>
            <w:tcW w:w="999"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2.84</w:t>
            </w:r>
          </w:p>
        </w:tc>
        <w:tc>
          <w:tcPr>
            <w:tcW w:w="632" w:type="dxa"/>
            <w:tcBorders>
              <w:top w:val="nil"/>
            </w:tcBorders>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-0.68</w:t>
            </w:r>
          </w:p>
        </w:tc>
        <w:tc>
          <w:tcPr>
            <w:tcW w:w="1249"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c>
          <w:tcPr>
            <w:tcW w:w="1074"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2.16</w:t>
            </w:r>
          </w:p>
        </w:tc>
        <w:tc>
          <w:tcPr>
            <w:tcW w:w="680" w:type="dxa"/>
            <w:tcBorders>
              <w:top w:val="nil"/>
            </w:tcBorders>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0.59</w:t>
            </w:r>
          </w:p>
        </w:tc>
        <w:tc>
          <w:tcPr>
            <w:tcW w:w="1126"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c>
          <w:tcPr>
            <w:tcW w:w="1074"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2.75</w:t>
            </w:r>
          </w:p>
        </w:tc>
        <w:tc>
          <w:tcPr>
            <w:tcW w:w="680" w:type="dxa"/>
            <w:tcBorders>
              <w:top w:val="nil"/>
            </w:tcBorders>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-0.7</w:t>
            </w:r>
          </w:p>
        </w:tc>
        <w:tc>
          <w:tcPr>
            <w:tcW w:w="1126"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KAEF</w:t>
            </w:r>
          </w:p>
        </w:tc>
        <w:tc>
          <w:tcPr>
            <w:tcW w:w="99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5.43</w:t>
            </w:r>
          </w:p>
        </w:tc>
        <w:tc>
          <w:tcPr>
            <w:tcW w:w="632"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-0.93</w:t>
            </w:r>
          </w:p>
        </w:tc>
        <w:tc>
          <w:tcPr>
            <w:tcW w:w="124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-1.06</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3.44</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-0.75</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KLBF</w:t>
            </w:r>
          </w:p>
        </w:tc>
        <w:tc>
          <w:tcPr>
            <w:tcW w:w="99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9.71</w:t>
            </w:r>
          </w:p>
        </w:tc>
        <w:tc>
          <w:tcPr>
            <w:tcW w:w="632"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0.14</w:t>
            </w:r>
          </w:p>
        </w:tc>
        <w:tc>
          <w:tcPr>
            <w:tcW w:w="124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9.85</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0.92</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10.76</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0.89</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MERK</w:t>
            </w:r>
          </w:p>
        </w:tc>
        <w:tc>
          <w:tcPr>
            <w:tcW w:w="99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9.35</w:t>
            </w:r>
          </w:p>
        </w:tc>
        <w:tc>
          <w:tcPr>
            <w:tcW w:w="632"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-0.75</w:t>
            </w:r>
          </w:p>
        </w:tc>
        <w:tc>
          <w:tcPr>
            <w:tcW w:w="124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9.76</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-2.48</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PYFA</w:t>
            </w:r>
          </w:p>
        </w:tc>
        <w:tc>
          <w:tcPr>
            <w:tcW w:w="99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4.05</w:t>
            </w:r>
          </w:p>
        </w:tc>
        <w:tc>
          <w:tcPr>
            <w:tcW w:w="632"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0.95</w:t>
            </w:r>
          </w:p>
        </w:tc>
        <w:tc>
          <w:tcPr>
            <w:tcW w:w="124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4.99</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-0.01</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4.98</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0.98</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SCPI</w:t>
            </w:r>
          </w:p>
        </w:tc>
        <w:tc>
          <w:tcPr>
            <w:tcW w:w="99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w:t>
            </w:r>
          </w:p>
        </w:tc>
        <w:tc>
          <w:tcPr>
            <w:tcW w:w="632"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1.32</w:t>
            </w:r>
          </w:p>
        </w:tc>
        <w:tc>
          <w:tcPr>
            <w:tcW w:w="124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Berbahaya</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2.22</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1.13</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3.35</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-0.23</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SIDO</w:t>
            </w:r>
          </w:p>
        </w:tc>
        <w:tc>
          <w:tcPr>
            <w:tcW w:w="99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24.76</w:t>
            </w:r>
          </w:p>
        </w:tc>
        <w:tc>
          <w:tcPr>
            <w:tcW w:w="632"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-1.46</w:t>
            </w:r>
          </w:p>
        </w:tc>
        <w:tc>
          <w:tcPr>
            <w:tcW w:w="124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23.3</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-1.69</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21.61</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-1.58</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TSPC</w:t>
            </w:r>
          </w:p>
        </w:tc>
        <w:tc>
          <w:tcPr>
            <w:tcW w:w="99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7.65</w:t>
            </w:r>
          </w:p>
        </w:tc>
        <w:tc>
          <w:tcPr>
            <w:tcW w:w="632"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-1.12</w:t>
            </w:r>
          </w:p>
        </w:tc>
        <w:tc>
          <w:tcPr>
            <w:tcW w:w="1249"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6.53</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0.34</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6.87</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-0.56</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bl>
    <w:p w:rsidR="00642728" w:rsidRDefault="00642728" w:rsidP="00F525EF">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tbl>
      <w:tblPr>
        <w:tblStyle w:val="a4"/>
        <w:tblW w:w="9366" w:type="dxa"/>
        <w:jc w:val="center"/>
        <w:tblInd w:w="-695" w:type="dxa"/>
        <w:tblBorders>
          <w:top w:val="single" w:sz="4" w:space="0" w:color="auto"/>
          <w:bottom w:val="single" w:sz="4" w:space="0" w:color="auto"/>
        </w:tblBorders>
        <w:tblLayout w:type="fixed"/>
        <w:tblLook w:val="0400" w:firstRow="0" w:lastRow="0" w:firstColumn="0" w:lastColumn="0" w:noHBand="0" w:noVBand="1"/>
      </w:tblPr>
      <w:tblGrid>
        <w:gridCol w:w="1127"/>
        <w:gridCol w:w="1074"/>
        <w:gridCol w:w="680"/>
        <w:gridCol w:w="1126"/>
        <w:gridCol w:w="1074"/>
        <w:gridCol w:w="680"/>
        <w:gridCol w:w="1126"/>
        <w:gridCol w:w="853"/>
        <w:gridCol w:w="1626"/>
      </w:tblGrid>
      <w:tr w:rsidR="00642728" w:rsidTr="00C7392A">
        <w:trPr>
          <w:trHeight w:val="315"/>
          <w:jc w:val="center"/>
        </w:trPr>
        <w:tc>
          <w:tcPr>
            <w:tcW w:w="1127" w:type="dxa"/>
            <w:vMerge w:val="restart"/>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Company Code</w:t>
            </w:r>
          </w:p>
        </w:tc>
        <w:tc>
          <w:tcPr>
            <w:tcW w:w="2880" w:type="dxa"/>
            <w:gridSpan w:val="3"/>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2017</w:t>
            </w:r>
          </w:p>
        </w:tc>
        <w:tc>
          <w:tcPr>
            <w:tcW w:w="2880" w:type="dxa"/>
            <w:gridSpan w:val="3"/>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2018</w:t>
            </w:r>
          </w:p>
        </w:tc>
        <w:tc>
          <w:tcPr>
            <w:tcW w:w="2479" w:type="dxa"/>
            <w:gridSpan w:val="2"/>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2019</w:t>
            </w:r>
          </w:p>
        </w:tc>
      </w:tr>
      <w:tr w:rsidR="00642728" w:rsidTr="00C7392A">
        <w:trPr>
          <w:trHeight w:val="315"/>
          <w:jc w:val="center"/>
        </w:trPr>
        <w:tc>
          <w:tcPr>
            <w:tcW w:w="1127" w:type="dxa"/>
            <w:vMerge/>
            <w:tcBorders>
              <w:bottom w:val="single" w:sz="4" w:space="0" w:color="auto"/>
            </w:tcBorders>
            <w:shd w:val="clear" w:color="auto" w:fill="auto"/>
            <w:vAlign w:val="center"/>
          </w:tcPr>
          <w:p w:rsidR="00642728" w:rsidRDefault="00642728" w:rsidP="00F525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8"/>
                <w:szCs w:val="18"/>
              </w:rPr>
            </w:pPr>
          </w:p>
        </w:tc>
        <w:tc>
          <w:tcPr>
            <w:tcW w:w="1074"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Z-Score</w:t>
            </w:r>
          </w:p>
        </w:tc>
        <w:tc>
          <w:tcPr>
            <w:tcW w:w="680"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w:t>
            </w:r>
          </w:p>
        </w:tc>
        <w:tc>
          <w:tcPr>
            <w:tcW w:w="1126"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proofErr w:type="spellStart"/>
            <w:r>
              <w:rPr>
                <w:rFonts w:ascii="Times New Roman" w:eastAsia="Times New Roman" w:hAnsi="Times New Roman" w:cs="Times New Roman"/>
                <w:b/>
                <w:color w:val="000000"/>
                <w:sz w:val="18"/>
                <w:szCs w:val="18"/>
              </w:rPr>
              <w:t>Prediksi</w:t>
            </w:r>
            <w:proofErr w:type="spellEnd"/>
          </w:p>
        </w:tc>
        <w:tc>
          <w:tcPr>
            <w:tcW w:w="1074"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Z-Score</w:t>
            </w:r>
          </w:p>
        </w:tc>
        <w:tc>
          <w:tcPr>
            <w:tcW w:w="680"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w:t>
            </w:r>
          </w:p>
        </w:tc>
        <w:tc>
          <w:tcPr>
            <w:tcW w:w="1126"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proofErr w:type="spellStart"/>
            <w:r>
              <w:rPr>
                <w:rFonts w:ascii="Times New Roman" w:eastAsia="Times New Roman" w:hAnsi="Times New Roman" w:cs="Times New Roman"/>
                <w:b/>
                <w:color w:val="000000"/>
                <w:sz w:val="18"/>
                <w:szCs w:val="18"/>
              </w:rPr>
              <w:t>Prediksi</w:t>
            </w:r>
            <w:proofErr w:type="spellEnd"/>
          </w:p>
        </w:tc>
        <w:tc>
          <w:tcPr>
            <w:tcW w:w="853"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Z-Score</w:t>
            </w:r>
          </w:p>
        </w:tc>
        <w:tc>
          <w:tcPr>
            <w:tcW w:w="1626"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8"/>
                <w:szCs w:val="18"/>
              </w:rPr>
            </w:pPr>
            <w:proofErr w:type="spellStart"/>
            <w:r>
              <w:rPr>
                <w:rFonts w:ascii="Times New Roman" w:eastAsia="Times New Roman" w:hAnsi="Times New Roman" w:cs="Times New Roman"/>
                <w:b/>
                <w:color w:val="000000"/>
                <w:sz w:val="18"/>
                <w:szCs w:val="18"/>
              </w:rPr>
              <w:t>Prediksi</w:t>
            </w:r>
            <w:proofErr w:type="spellEnd"/>
          </w:p>
        </w:tc>
      </w:tr>
      <w:tr w:rsidR="00642728" w:rsidTr="00C7392A">
        <w:trPr>
          <w:trHeight w:val="315"/>
          <w:jc w:val="center"/>
        </w:trPr>
        <w:tc>
          <w:tcPr>
            <w:tcW w:w="1127"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DVLA</w:t>
            </w:r>
          </w:p>
        </w:tc>
        <w:tc>
          <w:tcPr>
            <w:tcW w:w="1074"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6.04</w:t>
            </w:r>
          </w:p>
        </w:tc>
        <w:tc>
          <w:tcPr>
            <w:tcW w:w="680" w:type="dxa"/>
            <w:tcBorders>
              <w:top w:val="single" w:sz="4" w:space="0" w:color="auto"/>
              <w:bottom w:val="nil"/>
            </w:tcBorders>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0.76</w:t>
            </w:r>
          </w:p>
        </w:tc>
        <w:tc>
          <w:tcPr>
            <w:tcW w:w="1126"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6.8</w:t>
            </w:r>
          </w:p>
        </w:tc>
        <w:tc>
          <w:tcPr>
            <w:tcW w:w="680" w:type="dxa"/>
            <w:tcBorders>
              <w:top w:val="single" w:sz="4" w:space="0" w:color="auto"/>
              <w:bottom w:val="nil"/>
            </w:tcBorders>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0.04</w:t>
            </w:r>
          </w:p>
        </w:tc>
        <w:tc>
          <w:tcPr>
            <w:tcW w:w="1126"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853"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6.84</w:t>
            </w:r>
          </w:p>
        </w:tc>
        <w:tc>
          <w:tcPr>
            <w:tcW w:w="1626" w:type="dxa"/>
            <w:tcBorders>
              <w:top w:val="single" w:sz="4" w:space="0" w:color="auto"/>
              <w:bottom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INAF</w:t>
            </w:r>
          </w:p>
        </w:tc>
        <w:tc>
          <w:tcPr>
            <w:tcW w:w="1074"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2.05</w:t>
            </w:r>
          </w:p>
        </w:tc>
        <w:tc>
          <w:tcPr>
            <w:tcW w:w="680" w:type="dxa"/>
            <w:tcBorders>
              <w:top w:val="nil"/>
            </w:tcBorders>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-0.02</w:t>
            </w:r>
          </w:p>
        </w:tc>
        <w:tc>
          <w:tcPr>
            <w:tcW w:w="1126"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c>
          <w:tcPr>
            <w:tcW w:w="1074"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2.03</w:t>
            </w:r>
          </w:p>
        </w:tc>
        <w:tc>
          <w:tcPr>
            <w:tcW w:w="680" w:type="dxa"/>
            <w:tcBorders>
              <w:top w:val="nil"/>
            </w:tcBorders>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0.18</w:t>
            </w:r>
          </w:p>
        </w:tc>
        <w:tc>
          <w:tcPr>
            <w:tcW w:w="1126"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c>
          <w:tcPr>
            <w:tcW w:w="853"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2.21</w:t>
            </w:r>
          </w:p>
        </w:tc>
        <w:tc>
          <w:tcPr>
            <w:tcW w:w="1626" w:type="dxa"/>
            <w:tcBorders>
              <w:top w:val="nil"/>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KAEF</w:t>
            </w:r>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-0.6</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-0.43</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c>
          <w:tcPr>
            <w:tcW w:w="853"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1.66</w:t>
            </w:r>
          </w:p>
        </w:tc>
        <w:tc>
          <w:tcPr>
            <w:tcW w:w="16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Berbahaya</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KLBF</w:t>
            </w:r>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11.65</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0.31</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11.96</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-1.23</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853"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10.73</w:t>
            </w:r>
          </w:p>
        </w:tc>
        <w:tc>
          <w:tcPr>
            <w:tcW w:w="16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MERK</w:t>
            </w:r>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7.28</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-4.79</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3.29</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Rawan</w:t>
            </w:r>
            <w:proofErr w:type="spellEnd"/>
          </w:p>
        </w:tc>
        <w:tc>
          <w:tcPr>
            <w:tcW w:w="853"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5.79</w:t>
            </w:r>
          </w:p>
        </w:tc>
        <w:tc>
          <w:tcPr>
            <w:tcW w:w="16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PYFA</w:t>
            </w:r>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5.96</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-0.74</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5.22</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0.28</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853"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w:t>
            </w:r>
          </w:p>
        </w:tc>
        <w:tc>
          <w:tcPr>
            <w:tcW w:w="16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SCPI</w:t>
            </w:r>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3.12</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0.25</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3.38</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0.86</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853"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4.23</w:t>
            </w:r>
          </w:p>
        </w:tc>
        <w:tc>
          <w:tcPr>
            <w:tcW w:w="16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SIDO</w:t>
            </w:r>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20.03</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-6.99</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13.03</w:t>
            </w:r>
          </w:p>
        </w:tc>
        <w:tc>
          <w:tcPr>
            <w:tcW w:w="680" w:type="dxa"/>
            <w:shd w:val="clear" w:color="auto" w:fill="FFC7CE"/>
            <w:vAlign w:val="center"/>
          </w:tcPr>
          <w:p w:rsidR="00642728" w:rsidRDefault="00A30734" w:rsidP="00F525EF">
            <w:pPr>
              <w:spacing w:after="0" w:line="240" w:lineRule="auto"/>
              <w:jc w:val="center"/>
              <w:rPr>
                <w:rFonts w:ascii="Times New Roman" w:eastAsia="Times New Roman" w:hAnsi="Times New Roman" w:cs="Times New Roman"/>
                <w:color w:val="9C0006"/>
                <w:sz w:val="18"/>
                <w:szCs w:val="18"/>
              </w:rPr>
            </w:pPr>
            <w:r>
              <w:rPr>
                <w:rFonts w:ascii="Times New Roman" w:eastAsia="Times New Roman" w:hAnsi="Times New Roman" w:cs="Times New Roman"/>
                <w:color w:val="9C0006"/>
                <w:sz w:val="18"/>
                <w:szCs w:val="18"/>
              </w:rPr>
              <w:t>-0.04</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853"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12.99</w:t>
            </w:r>
          </w:p>
        </w:tc>
        <w:tc>
          <w:tcPr>
            <w:tcW w:w="16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r w:rsidR="00642728" w:rsidTr="00C7392A">
        <w:trPr>
          <w:trHeight w:val="315"/>
          <w:jc w:val="center"/>
        </w:trPr>
        <w:tc>
          <w:tcPr>
            <w:tcW w:w="1127"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TSPC</w:t>
            </w:r>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6.31</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0.08</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107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6.39</w:t>
            </w:r>
          </w:p>
        </w:tc>
        <w:tc>
          <w:tcPr>
            <w:tcW w:w="680" w:type="dxa"/>
            <w:shd w:val="clear" w:color="auto" w:fill="00B050"/>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0.17</w:t>
            </w:r>
          </w:p>
        </w:tc>
        <w:tc>
          <w:tcPr>
            <w:tcW w:w="11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c>
          <w:tcPr>
            <w:tcW w:w="853"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6.56</w:t>
            </w:r>
          </w:p>
        </w:tc>
        <w:tc>
          <w:tcPr>
            <w:tcW w:w="1626"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Sehat</w:t>
            </w:r>
            <w:proofErr w:type="spellEnd"/>
          </w:p>
        </w:tc>
      </w:tr>
    </w:tbl>
    <w:p w:rsidR="00642728" w:rsidRPr="00C7392A" w:rsidRDefault="00A30734" w:rsidP="00C7392A">
      <w:pPr>
        <w:widowControl w:val="0"/>
        <w:pBdr>
          <w:top w:val="nil"/>
          <w:left w:val="nil"/>
          <w:bottom w:val="nil"/>
          <w:right w:val="nil"/>
          <w:between w:val="nil"/>
        </w:pBdr>
        <w:spacing w:after="0" w:line="240" w:lineRule="auto"/>
        <w:ind w:left="-709"/>
        <w:rPr>
          <w:rFonts w:ascii="Times New Roman" w:eastAsia="Times New Roman" w:hAnsi="Times New Roman" w:cs="Times New Roman"/>
          <w:b/>
          <w:color w:val="000000"/>
          <w:sz w:val="20"/>
          <w:szCs w:val="20"/>
        </w:rPr>
      </w:pPr>
      <w:r w:rsidRPr="00C7392A">
        <w:rPr>
          <w:rFonts w:ascii="Times New Roman" w:eastAsia="Times New Roman" w:hAnsi="Times New Roman" w:cs="Times New Roman"/>
          <w:b/>
          <w:color w:val="000000"/>
          <w:sz w:val="20"/>
          <w:szCs w:val="20"/>
        </w:rPr>
        <w:t>Source: Research Results</w:t>
      </w:r>
    </w:p>
    <w:p w:rsidR="00642728" w:rsidRDefault="00642728" w:rsidP="00F525EF">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C7392A" w:rsidRDefault="00A30734" w:rsidP="00C7392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It can be seen that the main factor of changes in the Z-Score value is influenced by changes in the market value of equity divided by the book value of debt (X4) / Market Value of Equity to Book Value of Debt (X4), this change is caused by changes in the market value of equity. Several companies show a decrease in investor confidence in company management. Meanwhile, the second factor that affects changes in the Z-Score value by sales divided by total assets (X5) / Sales to Total Assets (X5), this change is caused by changes in company sales. In general, it can be concluded that investors still trust management performance in pharmaceutical sub-sector companies because most of the management conditions of pharmaceutical companies are still healthy.</w:t>
      </w:r>
    </w:p>
    <w:p w:rsidR="00642728" w:rsidRPr="00C7392A" w:rsidRDefault="00A30734" w:rsidP="00C7392A">
      <w:pPr>
        <w:widowControl w:val="0"/>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Optimal Capital Structure for Pharmaceutical Sub-Sector Companies in 2014-2019</w:t>
      </w:r>
    </w:p>
    <w:p w:rsidR="00642728" w:rsidRDefault="00A30734" w:rsidP="00C7392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calculation of company value, it is found that the capital structure that produces the most excellent company value, namely the proportion of debt of 30%, for each year (2014-2019 period). The next consideration is regarding the company's capital costs. The following is calculating the weighted average cost of capital (WACC) of the pharmaceutical sub-sector companies after considering financial distress costs.</w:t>
      </w:r>
    </w:p>
    <w:p w:rsidR="00642728" w:rsidRDefault="00642728" w:rsidP="00F525EF">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642728" w:rsidRPr="00C7392A" w:rsidRDefault="00C7392A" w:rsidP="00F525EF">
      <w:pPr>
        <w:widowControl w:val="0"/>
        <w:pBdr>
          <w:top w:val="nil"/>
          <w:left w:val="nil"/>
          <w:bottom w:val="nil"/>
          <w:right w:val="nil"/>
          <w:between w:val="nil"/>
        </w:pBdr>
        <w:spacing w:after="0" w:line="240" w:lineRule="auto"/>
        <w:ind w:left="720"/>
        <w:jc w:val="center"/>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 xml:space="preserve">Table </w:t>
      </w:r>
      <w:r>
        <w:rPr>
          <w:rFonts w:ascii="Times New Roman" w:eastAsia="Times New Roman" w:hAnsi="Times New Roman" w:cs="Times New Roman"/>
          <w:i/>
          <w:color w:val="000000"/>
          <w:lang w:val="id-ID"/>
        </w:rPr>
        <w:t>5.</w:t>
      </w:r>
      <w:proofErr w:type="gramEnd"/>
      <w:r>
        <w:rPr>
          <w:rFonts w:ascii="Times New Roman" w:eastAsia="Times New Roman" w:hAnsi="Times New Roman" w:cs="Times New Roman"/>
          <w:i/>
          <w:color w:val="000000"/>
          <w:lang w:val="id-ID"/>
        </w:rPr>
        <w:t xml:space="preserve"> </w:t>
      </w:r>
      <w:r w:rsidR="00A30734" w:rsidRPr="00C7392A">
        <w:rPr>
          <w:rFonts w:ascii="Times New Roman" w:eastAsia="Times New Roman" w:hAnsi="Times New Roman" w:cs="Times New Roman"/>
          <w:i/>
          <w:color w:val="000000"/>
        </w:rPr>
        <w:t xml:space="preserve"> WACC Calculation Results with the Financial Distress of Companies in the Pharmaceutical sub-sector in 2014 - 2019</w:t>
      </w:r>
    </w:p>
    <w:tbl>
      <w:tblPr>
        <w:tblStyle w:val="a5"/>
        <w:tblW w:w="9067" w:type="dxa"/>
        <w:jc w:val="center"/>
        <w:tblBorders>
          <w:top w:val="single" w:sz="4" w:space="0" w:color="auto"/>
          <w:bottom w:val="single" w:sz="4" w:space="0" w:color="auto"/>
        </w:tblBorders>
        <w:tblLayout w:type="fixed"/>
        <w:tblLook w:val="0400" w:firstRow="0" w:lastRow="0" w:firstColumn="0" w:lastColumn="0" w:noHBand="0" w:noVBand="1"/>
      </w:tblPr>
      <w:tblGrid>
        <w:gridCol w:w="714"/>
        <w:gridCol w:w="723"/>
        <w:gridCol w:w="84"/>
        <w:gridCol w:w="696"/>
        <w:gridCol w:w="21"/>
        <w:gridCol w:w="675"/>
        <w:gridCol w:w="41"/>
        <w:gridCol w:w="664"/>
        <w:gridCol w:w="32"/>
        <w:gridCol w:w="696"/>
        <w:gridCol w:w="34"/>
        <w:gridCol w:w="696"/>
        <w:gridCol w:w="47"/>
        <w:gridCol w:w="696"/>
        <w:gridCol w:w="19"/>
        <w:gridCol w:w="701"/>
        <w:gridCol w:w="631"/>
        <w:gridCol w:w="631"/>
        <w:gridCol w:w="632"/>
        <w:gridCol w:w="634"/>
      </w:tblGrid>
      <w:tr w:rsidR="00642728" w:rsidTr="00C7392A">
        <w:trPr>
          <w:trHeight w:val="300"/>
          <w:jc w:val="center"/>
        </w:trPr>
        <w:tc>
          <w:tcPr>
            <w:tcW w:w="1521" w:type="dxa"/>
            <w:gridSpan w:val="3"/>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Company</w:t>
            </w:r>
          </w:p>
        </w:tc>
        <w:tc>
          <w:tcPr>
            <w:tcW w:w="7546" w:type="dxa"/>
            <w:gridSpan w:val="17"/>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Debt</w:t>
            </w:r>
          </w:p>
        </w:tc>
      </w:tr>
      <w:tr w:rsidR="00642728" w:rsidTr="00C7392A">
        <w:trPr>
          <w:trHeight w:val="300"/>
          <w:jc w:val="center"/>
        </w:trPr>
        <w:tc>
          <w:tcPr>
            <w:tcW w:w="714" w:type="dxa"/>
            <w:tcBorders>
              <w:bottom w:val="single" w:sz="4" w:space="0" w:color="auto"/>
            </w:tcBorders>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tcBorders>
              <w:bottom w:val="single" w:sz="4" w:space="0" w:color="auto"/>
            </w:tcBorders>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696" w:type="dxa"/>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696" w:type="dxa"/>
            <w:gridSpan w:val="2"/>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705" w:type="dxa"/>
            <w:gridSpan w:val="2"/>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762" w:type="dxa"/>
            <w:gridSpan w:val="3"/>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696" w:type="dxa"/>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w:t>
            </w:r>
          </w:p>
        </w:tc>
        <w:tc>
          <w:tcPr>
            <w:tcW w:w="762" w:type="dxa"/>
            <w:gridSpan w:val="3"/>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w:t>
            </w:r>
          </w:p>
        </w:tc>
        <w:tc>
          <w:tcPr>
            <w:tcW w:w="701" w:type="dxa"/>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w:t>
            </w:r>
          </w:p>
        </w:tc>
        <w:tc>
          <w:tcPr>
            <w:tcW w:w="631" w:type="dxa"/>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w:t>
            </w:r>
          </w:p>
        </w:tc>
        <w:tc>
          <w:tcPr>
            <w:tcW w:w="631" w:type="dxa"/>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w:t>
            </w:r>
          </w:p>
        </w:tc>
        <w:tc>
          <w:tcPr>
            <w:tcW w:w="632" w:type="dxa"/>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w:t>
            </w:r>
          </w:p>
        </w:tc>
        <w:tc>
          <w:tcPr>
            <w:tcW w:w="634" w:type="dxa"/>
            <w:tcBorders>
              <w:bottom w:val="single" w:sz="4" w:space="0" w:color="auto"/>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r>
      <w:tr w:rsidR="00642728" w:rsidTr="00C7392A">
        <w:trPr>
          <w:trHeight w:val="300"/>
          <w:jc w:val="center"/>
        </w:trPr>
        <w:tc>
          <w:tcPr>
            <w:tcW w:w="714" w:type="dxa"/>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DVLA</w:t>
            </w:r>
          </w:p>
        </w:tc>
        <w:tc>
          <w:tcPr>
            <w:tcW w:w="807" w:type="dxa"/>
            <w:gridSpan w:val="2"/>
            <w:tcBorders>
              <w:top w:val="single" w:sz="4" w:space="0" w:color="auto"/>
              <w:bottom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696" w:type="dxa"/>
            <w:tcBorders>
              <w:top w:val="single" w:sz="4" w:space="0" w:color="auto"/>
              <w:bottom w:val="nil"/>
            </w:tcBorders>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8.60%</w:t>
            </w:r>
          </w:p>
        </w:tc>
        <w:tc>
          <w:tcPr>
            <w:tcW w:w="696" w:type="dxa"/>
            <w:gridSpan w:val="2"/>
            <w:tcBorders>
              <w:top w:val="single" w:sz="4" w:space="0" w:color="auto"/>
              <w:bottom w:val="nil"/>
            </w:tcBorders>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8.38%</w:t>
            </w:r>
          </w:p>
        </w:tc>
        <w:tc>
          <w:tcPr>
            <w:tcW w:w="705" w:type="dxa"/>
            <w:gridSpan w:val="2"/>
            <w:tcBorders>
              <w:top w:val="single" w:sz="4" w:space="0" w:color="auto"/>
              <w:bottom w:val="nil"/>
            </w:tcBorders>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8.17%</w:t>
            </w:r>
          </w:p>
        </w:tc>
        <w:tc>
          <w:tcPr>
            <w:tcW w:w="762" w:type="dxa"/>
            <w:gridSpan w:val="3"/>
            <w:tcBorders>
              <w:top w:val="single" w:sz="4" w:space="0" w:color="auto"/>
              <w:bottom w:val="nil"/>
            </w:tcBorders>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7.96%</w:t>
            </w:r>
          </w:p>
        </w:tc>
        <w:tc>
          <w:tcPr>
            <w:tcW w:w="696" w:type="dxa"/>
            <w:tcBorders>
              <w:top w:val="single" w:sz="4" w:space="0" w:color="auto"/>
              <w:bottom w:val="nil"/>
            </w:tcBorders>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7.78%</w:t>
            </w:r>
          </w:p>
        </w:tc>
        <w:tc>
          <w:tcPr>
            <w:tcW w:w="762" w:type="dxa"/>
            <w:gridSpan w:val="3"/>
            <w:tcBorders>
              <w:top w:val="single" w:sz="4" w:space="0" w:color="auto"/>
              <w:bottom w:val="nil"/>
            </w:tcBorders>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7.66%</w:t>
            </w:r>
          </w:p>
        </w:tc>
        <w:tc>
          <w:tcPr>
            <w:tcW w:w="701" w:type="dxa"/>
            <w:tcBorders>
              <w:top w:val="single" w:sz="4" w:space="0" w:color="auto"/>
              <w:bottom w:val="nil"/>
            </w:tcBorders>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7.89%</w:t>
            </w:r>
          </w:p>
        </w:tc>
        <w:tc>
          <w:tcPr>
            <w:tcW w:w="631" w:type="dxa"/>
            <w:tcBorders>
              <w:top w:val="single" w:sz="4" w:space="0" w:color="auto"/>
              <w:bottom w:val="nil"/>
            </w:tcBorders>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tcBorders>
              <w:top w:val="single" w:sz="4" w:space="0" w:color="auto"/>
              <w:bottom w:val="nil"/>
            </w:tcBorders>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tcBorders>
              <w:top w:val="single" w:sz="4" w:space="0" w:color="auto"/>
              <w:bottom w:val="nil"/>
            </w:tcBorders>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tcBorders>
              <w:top w:val="single" w:sz="4" w:space="0" w:color="auto"/>
              <w:bottom w:val="nil"/>
            </w:tcBorders>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tcBorders>
              <w:top w:val="nil"/>
            </w:tcBorders>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696" w:type="dxa"/>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5" w:type="dxa"/>
            <w:gridSpan w:val="2"/>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1" w:type="dxa"/>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tcBorders>
              <w:top w:val="nil"/>
            </w:tcBorders>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8.60%</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8.69%</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8.80%</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8.96%</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9.21%</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9.69%</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11.28%</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INAF</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7.55%</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7.36%</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7.17%</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6.98%</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6.79%</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6.61%</w:t>
            </w:r>
          </w:p>
        </w:tc>
        <w:tc>
          <w:tcPr>
            <w:tcW w:w="701" w:type="dxa"/>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6.44%</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5"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7.55%</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7.55%</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7.56%</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7.56%</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7.57%</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7.59%</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7.66%</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KAEF</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4.27%</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4.16%</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4.05%</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3.92%</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3.72%</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3.33%</w:t>
            </w:r>
          </w:p>
        </w:tc>
        <w:tc>
          <w:tcPr>
            <w:tcW w:w="701" w:type="dxa"/>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1.92%</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5"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4.27%</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4.00%</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3.65%</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3.18%</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2.46%</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1.03%</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-3.64%</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KLBF</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16.17%</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15.77%</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15.37%</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15.03%</w:t>
            </w:r>
          </w:p>
        </w:tc>
        <w:tc>
          <w:tcPr>
            <w:tcW w:w="696" w:type="dxa"/>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14.86%</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15.23%</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18.32%</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5"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16.17%</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16.89%</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17.81%</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19.07%</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21.02%</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24.84%</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37.37%</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MERK</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11.05%</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10.77%</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10.50%</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10.25%</w:t>
            </w:r>
          </w:p>
        </w:tc>
        <w:tc>
          <w:tcPr>
            <w:tcW w:w="696" w:type="dxa"/>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10.07%</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10.11%</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11.26%</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5"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11.05%</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11.34%</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11.72%</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12.23%</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13.03%</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14.59%</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19.72%</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PYFA</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13.56%</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13.22%</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12.89%</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12.60%</w:t>
            </w:r>
          </w:p>
        </w:tc>
        <w:tc>
          <w:tcPr>
            <w:tcW w:w="696" w:type="dxa"/>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12.42%</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12.62%</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14.73%</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5"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13.56%</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14.07%</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14.71%</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15.59%</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16.95%</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19.62%</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28.39%</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SCPI</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16.70%</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16.29%</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15.88%</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15.54%</w:t>
            </w:r>
          </w:p>
        </w:tc>
        <w:tc>
          <w:tcPr>
            <w:tcW w:w="696" w:type="dxa"/>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15.36%</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15.77%</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19.06%</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5"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16.70%</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17.47%</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18.45%</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19.78%</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21.86%</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25.91%</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39.22%</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SIDO</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8.71%</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8.49%</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8.28%</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8.07%</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7.88%</w:t>
            </w:r>
          </w:p>
        </w:tc>
        <w:tc>
          <w:tcPr>
            <w:tcW w:w="762" w:type="dxa"/>
            <w:gridSpan w:val="3"/>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7.77%</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8.04%</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5"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8.71%</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8.81%</w:t>
            </w:r>
          </w:p>
        </w:tc>
        <w:tc>
          <w:tcPr>
            <w:tcW w:w="705"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8.94%</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9.12%</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9.39%</w:t>
            </w:r>
          </w:p>
        </w:tc>
        <w:tc>
          <w:tcPr>
            <w:tcW w:w="762"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9.92%</w:t>
            </w:r>
          </w:p>
        </w:tc>
        <w:tc>
          <w:tcPr>
            <w:tcW w:w="701"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11.67%</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1521" w:type="dxa"/>
            <w:gridSpan w:val="3"/>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Perusahaan</w:t>
            </w:r>
          </w:p>
        </w:tc>
        <w:tc>
          <w:tcPr>
            <w:tcW w:w="7546" w:type="dxa"/>
            <w:gridSpan w:val="17"/>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Debt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lastRenderedPageBreak/>
              <w:t> </w:t>
            </w:r>
          </w:p>
        </w:tc>
        <w:tc>
          <w:tcPr>
            <w:tcW w:w="807" w:type="dxa"/>
            <w:gridSpan w:val="2"/>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705"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w:t>
            </w:r>
          </w:p>
        </w:tc>
        <w:tc>
          <w:tcPr>
            <w:tcW w:w="762"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w:t>
            </w:r>
          </w:p>
        </w:tc>
        <w:tc>
          <w:tcPr>
            <w:tcW w:w="70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TSPC</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WACC</w:t>
            </w:r>
          </w:p>
        </w:tc>
        <w:tc>
          <w:tcPr>
            <w:tcW w:w="801"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18.34%</w:t>
            </w:r>
          </w:p>
        </w:tc>
        <w:tc>
          <w:tcPr>
            <w:tcW w:w="71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17.88%</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17.44%</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17.06%</w:t>
            </w:r>
          </w:p>
        </w:tc>
        <w:tc>
          <w:tcPr>
            <w:tcW w:w="777" w:type="dxa"/>
            <w:gridSpan w:val="3"/>
            <w:shd w:val="clear" w:color="auto" w:fill="00B050"/>
            <w:vAlign w:val="bottom"/>
          </w:tcPr>
          <w:p w:rsidR="00642728" w:rsidRDefault="00A30734" w:rsidP="00F525EF">
            <w:pPr>
              <w:spacing w:after="0" w:line="240" w:lineRule="auto"/>
              <w:jc w:val="right"/>
              <w:rPr>
                <w:color w:val="000000"/>
                <w:sz w:val="16"/>
                <w:szCs w:val="16"/>
              </w:rPr>
            </w:pPr>
            <w:r>
              <w:rPr>
                <w:color w:val="000000"/>
                <w:sz w:val="16"/>
                <w:szCs w:val="16"/>
              </w:rPr>
              <w:t>16.89%</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17.40%</w:t>
            </w:r>
          </w:p>
        </w:tc>
        <w:tc>
          <w:tcPr>
            <w:tcW w:w="720"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21.32%</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KD</w:t>
            </w:r>
          </w:p>
        </w:tc>
        <w:tc>
          <w:tcPr>
            <w:tcW w:w="801"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1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77" w:type="dxa"/>
            <w:gridSpan w:val="3"/>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96"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20" w:type="dxa"/>
            <w:gridSpan w:val="2"/>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1"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2"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634" w:type="dxa"/>
            <w:shd w:val="clear" w:color="auto" w:fill="FFFFFF"/>
            <w:vAlign w:val="center"/>
          </w:tcPr>
          <w:p w:rsidR="00642728" w:rsidRDefault="00A30734" w:rsidP="00F525E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r>
      <w:tr w:rsidR="00642728" w:rsidTr="00C7392A">
        <w:trPr>
          <w:trHeight w:val="300"/>
          <w:jc w:val="center"/>
        </w:trPr>
        <w:tc>
          <w:tcPr>
            <w:tcW w:w="714"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723" w:type="dxa"/>
            <w:shd w:val="clear" w:color="auto" w:fill="auto"/>
            <w:vAlign w:val="center"/>
          </w:tcPr>
          <w:p w:rsidR="00642728" w:rsidRDefault="00A30734" w:rsidP="00F525E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KSL</w:t>
            </w:r>
          </w:p>
        </w:tc>
        <w:tc>
          <w:tcPr>
            <w:tcW w:w="801"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18.34%</w:t>
            </w:r>
          </w:p>
        </w:tc>
        <w:tc>
          <w:tcPr>
            <w:tcW w:w="71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19.24%</w:t>
            </w:r>
          </w:p>
        </w:tc>
        <w:tc>
          <w:tcPr>
            <w:tcW w:w="696"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20.39%</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21.96%</w:t>
            </w:r>
          </w:p>
        </w:tc>
        <w:tc>
          <w:tcPr>
            <w:tcW w:w="777" w:type="dxa"/>
            <w:gridSpan w:val="3"/>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24.41%</w:t>
            </w:r>
          </w:p>
        </w:tc>
        <w:tc>
          <w:tcPr>
            <w:tcW w:w="696" w:type="dxa"/>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29.18%</w:t>
            </w:r>
          </w:p>
        </w:tc>
        <w:tc>
          <w:tcPr>
            <w:tcW w:w="720" w:type="dxa"/>
            <w:gridSpan w:val="2"/>
            <w:shd w:val="clear" w:color="auto" w:fill="auto"/>
            <w:vAlign w:val="bottom"/>
          </w:tcPr>
          <w:p w:rsidR="00642728" w:rsidRDefault="00A30734" w:rsidP="00F525EF">
            <w:pPr>
              <w:spacing w:after="0" w:line="240" w:lineRule="auto"/>
              <w:jc w:val="right"/>
              <w:rPr>
                <w:color w:val="000000"/>
                <w:sz w:val="16"/>
                <w:szCs w:val="16"/>
              </w:rPr>
            </w:pPr>
            <w:r>
              <w:rPr>
                <w:color w:val="000000"/>
                <w:sz w:val="16"/>
                <w:szCs w:val="16"/>
              </w:rPr>
              <w:t>44.85%</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1"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2"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c>
          <w:tcPr>
            <w:tcW w:w="634" w:type="dxa"/>
            <w:shd w:val="clear" w:color="auto" w:fill="FFFFFF"/>
            <w:vAlign w:val="center"/>
          </w:tcPr>
          <w:p w:rsidR="00642728" w:rsidRDefault="00A30734" w:rsidP="00F525EF">
            <w:pPr>
              <w:spacing w:after="0" w:line="240" w:lineRule="auto"/>
              <w:jc w:val="center"/>
              <w:rPr>
                <w:color w:val="000000"/>
                <w:sz w:val="16"/>
                <w:szCs w:val="16"/>
              </w:rPr>
            </w:pPr>
            <w:r>
              <w:rPr>
                <w:color w:val="000000"/>
                <w:sz w:val="16"/>
                <w:szCs w:val="16"/>
              </w:rPr>
              <w:t>∞</w:t>
            </w:r>
          </w:p>
        </w:tc>
      </w:tr>
    </w:tbl>
    <w:p w:rsidR="00642728" w:rsidRDefault="00A30734" w:rsidP="00C7392A">
      <w:pPr>
        <w:widowControl w:val="0"/>
        <w:pBdr>
          <w:top w:val="nil"/>
          <w:left w:val="nil"/>
          <w:bottom w:val="nil"/>
          <w:right w:val="nil"/>
          <w:between w:val="nil"/>
        </w:pBdr>
        <w:spacing w:after="0" w:line="240" w:lineRule="auto"/>
        <w:ind w:left="-567"/>
        <w:jc w:val="both"/>
        <w:rPr>
          <w:rFonts w:ascii="Times New Roman" w:eastAsia="Times New Roman" w:hAnsi="Times New Roman" w:cs="Times New Roman"/>
          <w:b/>
          <w:color w:val="000000"/>
          <w:sz w:val="20"/>
          <w:szCs w:val="20"/>
          <w:lang w:val="id-ID"/>
        </w:rPr>
      </w:pPr>
      <w:r w:rsidRPr="00C7392A">
        <w:rPr>
          <w:rFonts w:ascii="Times New Roman" w:eastAsia="Times New Roman" w:hAnsi="Times New Roman" w:cs="Times New Roman"/>
          <w:b/>
          <w:color w:val="000000"/>
          <w:sz w:val="20"/>
          <w:szCs w:val="20"/>
        </w:rPr>
        <w:t>Source: Research Results</w:t>
      </w:r>
    </w:p>
    <w:p w:rsidR="00C7392A" w:rsidRDefault="00C7392A" w:rsidP="00C7392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id-ID"/>
        </w:rPr>
      </w:pPr>
    </w:p>
    <w:p w:rsidR="00642728" w:rsidRDefault="00A30734" w:rsidP="00C7392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E101A"/>
          <w:sz w:val="24"/>
          <w:szCs w:val="24"/>
        </w:rPr>
        <w:t xml:space="preserve">The lowest WACC average for capital structure in pharmaceutical sub-sector companies is in the composition of 40% to 60% of the debt. </w:t>
      </w:r>
      <w:proofErr w:type="gramStart"/>
      <w:r>
        <w:rPr>
          <w:rFonts w:ascii="Times New Roman" w:eastAsia="Times New Roman" w:hAnsi="Times New Roman" w:cs="Times New Roman"/>
          <w:color w:val="0E101A"/>
          <w:sz w:val="24"/>
          <w:szCs w:val="24"/>
        </w:rPr>
        <w:t>So, the higher the level of debt, the higher the cost of equity for the company.</w:t>
      </w:r>
      <w:proofErr w:type="gramEnd"/>
      <w:r>
        <w:rPr>
          <w:rFonts w:ascii="Times New Roman" w:eastAsia="Times New Roman" w:hAnsi="Times New Roman" w:cs="Times New Roman"/>
          <w:color w:val="0E101A"/>
          <w:sz w:val="24"/>
          <w:szCs w:val="24"/>
        </w:rPr>
        <w:t xml:space="preserve"> From the results of the average debt composition of 0% - 100% and WACC, it is found that the average debt consists of 47%, with an average WACC of 10%. The higher the </w:t>
      </w:r>
      <w:r>
        <w:rPr>
          <w:rFonts w:ascii="Times New Roman" w:eastAsia="Times New Roman" w:hAnsi="Times New Roman" w:cs="Times New Roman"/>
          <w:i/>
          <w:color w:val="0E101A"/>
          <w:sz w:val="24"/>
          <w:szCs w:val="24"/>
        </w:rPr>
        <w:t>cost of equity of a levered firm will</w:t>
      </w:r>
      <w:r>
        <w:rPr>
          <w:rFonts w:ascii="Times New Roman" w:eastAsia="Times New Roman" w:hAnsi="Times New Roman" w:cs="Times New Roman"/>
          <w:color w:val="0E101A"/>
          <w:sz w:val="24"/>
          <w:szCs w:val="24"/>
        </w:rPr>
        <w:t> certainly lead to the higher the company's cost of capital because the company's cost of capital is a weighted average of the cost of capital and the cost of corporate debt. By considering this, companies in the pharmaceutical sub-sector can restructure to reach this optimal point.</w:t>
      </w:r>
    </w:p>
    <w:p w:rsidR="00C7392A" w:rsidRDefault="00C7392A" w:rsidP="00C7392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p>
    <w:p w:rsidR="00642728" w:rsidRDefault="00A30734" w:rsidP="00C7392A">
      <w:pPr>
        <w:widowControl w:val="0"/>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SWOT Pharmaceutical Sub Sector Companies 2014-2019</w:t>
      </w:r>
    </w:p>
    <w:p w:rsidR="00642728" w:rsidRDefault="00A30734" w:rsidP="00C7392A">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Researchers create strategies based on a combination of four factors. The SO strategy was developed to think about finding specific ways to use its strengths to take advantage of current opportunities. Companies can also consider the company's strengths to avoid threats by using an SO strategy. Also, developing a WO strategy can take advantage of existing opportunities to overcome company weaknesses. And by getting the ST strategy as a defense strategy to minimize weaknesses and avoid threats to the company.</w:t>
      </w:r>
    </w:p>
    <w:p w:rsidR="00642728" w:rsidRDefault="00642728" w:rsidP="00F525EF">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642728" w:rsidRPr="00C7392A" w:rsidRDefault="00C7392A" w:rsidP="00C7392A">
      <w:pPr>
        <w:widowControl w:val="0"/>
        <w:pBdr>
          <w:top w:val="nil"/>
          <w:left w:val="nil"/>
          <w:bottom w:val="nil"/>
          <w:right w:val="nil"/>
          <w:between w:val="nil"/>
        </w:pBdr>
        <w:spacing w:after="0" w:line="240" w:lineRule="auto"/>
        <w:ind w:left="108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Tabel</w:t>
      </w:r>
      <w:proofErr w:type="spellEnd"/>
      <w:r>
        <w:rPr>
          <w:rFonts w:ascii="Times New Roman" w:eastAsia="Times New Roman" w:hAnsi="Times New Roman" w:cs="Times New Roman"/>
          <w:i/>
          <w:color w:val="000000"/>
          <w:sz w:val="24"/>
          <w:szCs w:val="24"/>
          <w:lang w:val="id-ID"/>
        </w:rPr>
        <w:t xml:space="preserve">6. </w:t>
      </w:r>
      <w:proofErr w:type="spellStart"/>
      <w:r w:rsidR="00A30734" w:rsidRPr="00C7392A">
        <w:rPr>
          <w:rFonts w:ascii="Times New Roman" w:eastAsia="Times New Roman" w:hAnsi="Times New Roman" w:cs="Times New Roman"/>
          <w:i/>
          <w:color w:val="000000"/>
          <w:sz w:val="24"/>
          <w:szCs w:val="24"/>
        </w:rPr>
        <w:t>Matriks</w:t>
      </w:r>
      <w:proofErr w:type="spellEnd"/>
      <w:r w:rsidR="00A30734" w:rsidRPr="00C7392A">
        <w:rPr>
          <w:rFonts w:ascii="Times New Roman" w:eastAsia="Times New Roman" w:hAnsi="Times New Roman" w:cs="Times New Roman"/>
          <w:i/>
          <w:color w:val="000000"/>
          <w:sz w:val="24"/>
          <w:szCs w:val="24"/>
        </w:rPr>
        <w:t xml:space="preserve"> TOWS</w:t>
      </w:r>
    </w:p>
    <w:tbl>
      <w:tblPr>
        <w:tblStyle w:val="a6"/>
        <w:tblW w:w="9576" w:type="dxa"/>
        <w:jc w:val="center"/>
        <w:tblBorders>
          <w:top w:val="single" w:sz="4" w:space="0" w:color="auto"/>
          <w:bottom w:val="single" w:sz="4" w:space="0" w:color="auto"/>
        </w:tblBorders>
        <w:tblLayout w:type="fixed"/>
        <w:tblLook w:val="0400" w:firstRow="0" w:lastRow="0" w:firstColumn="0" w:lastColumn="0" w:noHBand="0" w:noVBand="1"/>
      </w:tblPr>
      <w:tblGrid>
        <w:gridCol w:w="3192"/>
        <w:gridCol w:w="3192"/>
        <w:gridCol w:w="3192"/>
      </w:tblGrid>
      <w:tr w:rsidR="00642728" w:rsidRPr="00C7392A" w:rsidTr="00C7392A">
        <w:trPr>
          <w:jc w:val="center"/>
        </w:trPr>
        <w:tc>
          <w:tcPr>
            <w:tcW w:w="3192" w:type="dxa"/>
          </w:tcPr>
          <w:p w:rsidR="00642728" w:rsidRPr="00C7392A" w:rsidRDefault="00A30734" w:rsidP="00F525EF">
            <w:pPr>
              <w:spacing w:after="0" w:line="240" w:lineRule="auto"/>
              <w:rPr>
                <w:rFonts w:ascii="Times New Roman" w:eastAsia="Times New Roman" w:hAnsi="Times New Roman" w:cs="Times New Roman"/>
                <w:b/>
                <w:sz w:val="20"/>
                <w:szCs w:val="20"/>
              </w:rPr>
            </w:pPr>
            <w:r w:rsidRPr="00C7392A">
              <w:rPr>
                <w:rFonts w:ascii="Times New Roman" w:eastAsia="Times New Roman" w:hAnsi="Times New Roman" w:cs="Times New Roman"/>
                <w:b/>
                <w:sz w:val="20"/>
                <w:szCs w:val="20"/>
              </w:rPr>
              <w:t>Internal factors</w:t>
            </w: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A30734" w:rsidP="00F525EF">
            <w:pPr>
              <w:spacing w:after="0" w:line="240" w:lineRule="auto"/>
              <w:rPr>
                <w:rFonts w:ascii="Times New Roman" w:eastAsia="Times New Roman" w:hAnsi="Times New Roman" w:cs="Times New Roman"/>
                <w:b/>
                <w:sz w:val="20"/>
                <w:szCs w:val="20"/>
              </w:rPr>
            </w:pPr>
            <w:r w:rsidRPr="00C7392A">
              <w:rPr>
                <w:rFonts w:ascii="Times New Roman" w:eastAsia="Times New Roman" w:hAnsi="Times New Roman" w:cs="Times New Roman"/>
                <w:b/>
                <w:sz w:val="20"/>
                <w:szCs w:val="20"/>
              </w:rPr>
              <w:t>External factors</w:t>
            </w:r>
          </w:p>
        </w:tc>
        <w:tc>
          <w:tcPr>
            <w:tcW w:w="3192" w:type="dxa"/>
          </w:tcPr>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Strengths (S)</w:t>
            </w: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S1: Pharmaceutical sub-sector companies can still pay dividends</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S2: Based on the calculation of the Z-score, the average financial condition of the pharmaceutical sub-sector companies is still relatively healthy, with a Z-score value above 2.99</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S3: Have a product brand that is well known to the Indonesian people</w:t>
            </w:r>
          </w:p>
          <w:p w:rsid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S4: The product has been recognized and registered with the Food and Drug Administration (BPPOM)</w:t>
            </w:r>
          </w:p>
          <w:p w:rsidR="00642728" w:rsidRPr="00C7392A" w:rsidRDefault="00C7392A" w:rsidP="00C7392A">
            <w:pPr>
              <w:tabs>
                <w:tab w:val="left" w:pos="9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c>
          <w:tcPr>
            <w:tcW w:w="3192" w:type="dxa"/>
          </w:tcPr>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Weakness (W)</w:t>
            </w: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W1: Profitability of pharmaceutical sub-sector companies is not optimal</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W2: The capital structure of the pharmaceutical sub-sector company is not yet optimal</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W3: Dependence on imported raw materials</w:t>
            </w:r>
          </w:p>
        </w:tc>
      </w:tr>
      <w:tr w:rsidR="00642728" w:rsidRPr="00C7392A" w:rsidTr="00C7392A">
        <w:trPr>
          <w:jc w:val="center"/>
        </w:trPr>
        <w:tc>
          <w:tcPr>
            <w:tcW w:w="3192" w:type="dxa"/>
          </w:tcPr>
          <w:p w:rsidR="00642728" w:rsidRPr="00C7392A" w:rsidRDefault="00A30734" w:rsidP="00F525EF">
            <w:pPr>
              <w:spacing w:after="0" w:line="240" w:lineRule="auto"/>
              <w:rPr>
                <w:rFonts w:ascii="Times New Roman" w:eastAsia="Times New Roman" w:hAnsi="Times New Roman" w:cs="Times New Roman"/>
                <w:b/>
                <w:sz w:val="20"/>
                <w:szCs w:val="20"/>
              </w:rPr>
            </w:pPr>
            <w:r w:rsidRPr="00C7392A">
              <w:rPr>
                <w:rFonts w:ascii="Times New Roman" w:eastAsia="Times New Roman" w:hAnsi="Times New Roman" w:cs="Times New Roman"/>
                <w:b/>
                <w:sz w:val="20"/>
                <w:szCs w:val="20"/>
              </w:rPr>
              <w:t>Opportunities (O)</w:t>
            </w: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xml:space="preserve">- O1: The potential of the </w:t>
            </w:r>
            <w:r w:rsidRPr="00C7392A">
              <w:rPr>
                <w:rFonts w:ascii="Times New Roman" w:eastAsia="Times New Roman" w:hAnsi="Times New Roman" w:cs="Times New Roman"/>
                <w:sz w:val="20"/>
                <w:szCs w:val="20"/>
              </w:rPr>
              <w:lastRenderedPageBreak/>
              <w:t>pharmaceutical industry is large due to the increasing number of people with healthy lifestyle changes</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O2: The mandatory National Health Insurance Program (JKN) can improve the pharmaceutical industry</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O3: There is an increasing demand for health needs</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O4: More and more new hospitals and pharmacies</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O5: New technology that enables more efficient production / distribution and can improve product quality</w:t>
            </w:r>
          </w:p>
        </w:tc>
        <w:tc>
          <w:tcPr>
            <w:tcW w:w="3192" w:type="dxa"/>
          </w:tcPr>
          <w:p w:rsidR="00642728" w:rsidRPr="00C7392A" w:rsidRDefault="00A30734" w:rsidP="00F525EF">
            <w:pPr>
              <w:spacing w:after="0" w:line="240" w:lineRule="auto"/>
              <w:rPr>
                <w:rFonts w:ascii="Times New Roman" w:eastAsia="Times New Roman" w:hAnsi="Times New Roman" w:cs="Times New Roman"/>
                <w:b/>
                <w:sz w:val="20"/>
                <w:szCs w:val="20"/>
              </w:rPr>
            </w:pPr>
            <w:r w:rsidRPr="00C7392A">
              <w:rPr>
                <w:rFonts w:ascii="Times New Roman" w:eastAsia="Times New Roman" w:hAnsi="Times New Roman" w:cs="Times New Roman"/>
                <w:b/>
                <w:sz w:val="20"/>
                <w:szCs w:val="20"/>
              </w:rPr>
              <w:lastRenderedPageBreak/>
              <w:t>SO Strategy</w:t>
            </w: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xml:space="preserve">- Improve the quality of production </w:t>
            </w:r>
            <w:r w:rsidRPr="00C7392A">
              <w:rPr>
                <w:rFonts w:ascii="Times New Roman" w:eastAsia="Times New Roman" w:hAnsi="Times New Roman" w:cs="Times New Roman"/>
                <w:sz w:val="20"/>
                <w:szCs w:val="20"/>
              </w:rPr>
              <w:lastRenderedPageBreak/>
              <w:t>and streamline costs.</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Expanding market share to increase sales by cooperating with hospitals and health dispensaries to supply drugs, vitamins, and medical equipment.</w:t>
            </w: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642728" w:rsidP="00F525EF">
            <w:pPr>
              <w:spacing w:after="0" w:line="240" w:lineRule="auto"/>
              <w:rPr>
                <w:rFonts w:ascii="Times New Roman" w:eastAsia="Times New Roman" w:hAnsi="Times New Roman" w:cs="Times New Roman"/>
                <w:sz w:val="20"/>
                <w:szCs w:val="20"/>
              </w:rPr>
            </w:pPr>
          </w:p>
        </w:tc>
        <w:tc>
          <w:tcPr>
            <w:tcW w:w="3192" w:type="dxa"/>
          </w:tcPr>
          <w:p w:rsidR="00642728" w:rsidRPr="00C7392A" w:rsidRDefault="00A30734" w:rsidP="00F525EF">
            <w:pPr>
              <w:spacing w:after="0" w:line="240" w:lineRule="auto"/>
              <w:rPr>
                <w:rFonts w:ascii="Times New Roman" w:eastAsia="Times New Roman" w:hAnsi="Times New Roman" w:cs="Times New Roman"/>
                <w:b/>
                <w:sz w:val="20"/>
                <w:szCs w:val="20"/>
              </w:rPr>
            </w:pPr>
            <w:r w:rsidRPr="00C7392A">
              <w:rPr>
                <w:rFonts w:ascii="Times New Roman" w:eastAsia="Times New Roman" w:hAnsi="Times New Roman" w:cs="Times New Roman"/>
                <w:b/>
                <w:sz w:val="20"/>
                <w:szCs w:val="20"/>
              </w:rPr>
              <w:lastRenderedPageBreak/>
              <w:t>WO Strategy</w:t>
            </w: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xml:space="preserve">- The company can still increase the </w:t>
            </w:r>
            <w:r w:rsidRPr="00C7392A">
              <w:rPr>
                <w:rFonts w:ascii="Times New Roman" w:eastAsia="Times New Roman" w:hAnsi="Times New Roman" w:cs="Times New Roman"/>
                <w:sz w:val="20"/>
                <w:szCs w:val="20"/>
              </w:rPr>
              <w:lastRenderedPageBreak/>
              <w:t>debt to reach the lowest and maximum company value.</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Breaking the share price lower to increase the liquidity of the company's shares.</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Utilizing the potential of domestic raw material resources and cooperating with domestic raw material agents to get lower quality and good quality prices.</w:t>
            </w:r>
          </w:p>
          <w:p w:rsidR="00642728" w:rsidRPr="00C7392A" w:rsidRDefault="00642728" w:rsidP="00F525EF">
            <w:pPr>
              <w:spacing w:after="0" w:line="240" w:lineRule="auto"/>
              <w:rPr>
                <w:rFonts w:ascii="Times New Roman" w:eastAsia="Times New Roman" w:hAnsi="Times New Roman" w:cs="Times New Roman"/>
                <w:sz w:val="20"/>
                <w:szCs w:val="20"/>
              </w:rPr>
            </w:pPr>
          </w:p>
        </w:tc>
      </w:tr>
      <w:tr w:rsidR="00642728" w:rsidRPr="00C7392A" w:rsidTr="00C7392A">
        <w:trPr>
          <w:jc w:val="center"/>
        </w:trPr>
        <w:tc>
          <w:tcPr>
            <w:tcW w:w="3192" w:type="dxa"/>
          </w:tcPr>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lastRenderedPageBreak/>
              <w:t>Threats (T)</w:t>
            </w:r>
          </w:p>
          <w:p w:rsidR="00642728" w:rsidRPr="00C7392A" w:rsidRDefault="00642728" w:rsidP="00F525EF">
            <w:pPr>
              <w:spacing w:after="0" w:line="240" w:lineRule="auto"/>
              <w:rPr>
                <w:rFonts w:ascii="Times New Roman" w:eastAsia="Times New Roman" w:hAnsi="Times New Roman" w:cs="Times New Roman"/>
                <w:sz w:val="20"/>
                <w:szCs w:val="20"/>
              </w:rPr>
            </w:pP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T1: Economic instability in Indonesia</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xml:space="preserve">  - T2: Bank interest rate volatility</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xml:space="preserve">  - T3: Keep up with technological developments in the era of globalization</w:t>
            </w:r>
          </w:p>
        </w:tc>
        <w:tc>
          <w:tcPr>
            <w:tcW w:w="3192" w:type="dxa"/>
          </w:tcPr>
          <w:p w:rsidR="00642728" w:rsidRPr="00C7392A" w:rsidRDefault="00A30734" w:rsidP="00F525EF">
            <w:pPr>
              <w:spacing w:after="0" w:line="240" w:lineRule="auto"/>
              <w:rPr>
                <w:rFonts w:ascii="Times New Roman" w:eastAsia="Times New Roman" w:hAnsi="Times New Roman" w:cs="Times New Roman"/>
                <w:b/>
                <w:sz w:val="20"/>
                <w:szCs w:val="20"/>
              </w:rPr>
            </w:pPr>
            <w:r w:rsidRPr="00C7392A">
              <w:rPr>
                <w:rFonts w:ascii="Times New Roman" w:eastAsia="Times New Roman" w:hAnsi="Times New Roman" w:cs="Times New Roman"/>
                <w:b/>
                <w:sz w:val="20"/>
                <w:szCs w:val="20"/>
              </w:rPr>
              <w:t>ST Strategy</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Able to produce products efficiently so as to offer lower selling prices.</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Increase the distribution of dividends for investors in building a positive image of the company.</w:t>
            </w:r>
          </w:p>
        </w:tc>
        <w:tc>
          <w:tcPr>
            <w:tcW w:w="3192" w:type="dxa"/>
          </w:tcPr>
          <w:p w:rsidR="00642728" w:rsidRPr="00C7392A" w:rsidRDefault="00A30734" w:rsidP="00F525EF">
            <w:pPr>
              <w:spacing w:after="0" w:line="240" w:lineRule="auto"/>
              <w:rPr>
                <w:rFonts w:ascii="Times New Roman" w:eastAsia="Times New Roman" w:hAnsi="Times New Roman" w:cs="Times New Roman"/>
                <w:b/>
                <w:sz w:val="20"/>
                <w:szCs w:val="20"/>
              </w:rPr>
            </w:pPr>
            <w:r w:rsidRPr="00C7392A">
              <w:rPr>
                <w:rFonts w:ascii="Times New Roman" w:eastAsia="Times New Roman" w:hAnsi="Times New Roman" w:cs="Times New Roman"/>
                <w:b/>
                <w:sz w:val="20"/>
                <w:szCs w:val="20"/>
              </w:rPr>
              <w:t>WT Strategy</w:t>
            </w:r>
          </w:p>
          <w:p w:rsidR="00642728" w:rsidRPr="00C7392A" w:rsidRDefault="00642728" w:rsidP="00F525EF">
            <w:pPr>
              <w:spacing w:after="0" w:line="240" w:lineRule="auto"/>
              <w:rPr>
                <w:rFonts w:ascii="Times New Roman" w:eastAsia="Times New Roman" w:hAnsi="Times New Roman" w:cs="Times New Roman"/>
                <w:b/>
                <w:sz w:val="20"/>
                <w:szCs w:val="20"/>
              </w:rPr>
            </w:pP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The company can still increase the debt to reach the lowest and maximum company value.</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Breaking the share price lower to increase the liquidity of the company's shares.</w:t>
            </w:r>
          </w:p>
          <w:p w:rsidR="00642728" w:rsidRPr="00C7392A" w:rsidRDefault="00A30734" w:rsidP="00F525EF">
            <w:pPr>
              <w:spacing w:after="0" w:line="240" w:lineRule="auto"/>
              <w:rPr>
                <w:rFonts w:ascii="Times New Roman" w:eastAsia="Times New Roman" w:hAnsi="Times New Roman" w:cs="Times New Roman"/>
                <w:sz w:val="20"/>
                <w:szCs w:val="20"/>
              </w:rPr>
            </w:pPr>
            <w:r w:rsidRPr="00C7392A">
              <w:rPr>
                <w:rFonts w:ascii="Times New Roman" w:eastAsia="Times New Roman" w:hAnsi="Times New Roman" w:cs="Times New Roman"/>
                <w:sz w:val="20"/>
                <w:szCs w:val="20"/>
              </w:rPr>
              <w:t>- Utilizing the potential of domestic raw material resources and cooperating with domestic raw material agents to get lower quality and reasonable quality prices.</w:t>
            </w:r>
          </w:p>
        </w:tc>
      </w:tr>
    </w:tbl>
    <w:p w:rsidR="00642728" w:rsidRPr="00C7392A" w:rsidRDefault="00A30734" w:rsidP="00C7392A">
      <w:pPr>
        <w:widowControl w:val="0"/>
        <w:pBdr>
          <w:top w:val="nil"/>
          <w:left w:val="nil"/>
          <w:bottom w:val="nil"/>
          <w:right w:val="nil"/>
          <w:between w:val="nil"/>
        </w:pBdr>
        <w:spacing w:after="0" w:line="240" w:lineRule="auto"/>
        <w:ind w:left="-851"/>
        <w:jc w:val="both"/>
        <w:rPr>
          <w:rFonts w:ascii="Times New Roman" w:eastAsia="Times New Roman" w:hAnsi="Times New Roman" w:cs="Times New Roman"/>
          <w:b/>
          <w:color w:val="000000"/>
          <w:sz w:val="20"/>
          <w:szCs w:val="20"/>
        </w:rPr>
      </w:pPr>
      <w:r w:rsidRPr="00C7392A">
        <w:rPr>
          <w:rFonts w:ascii="Times New Roman" w:eastAsia="Times New Roman" w:hAnsi="Times New Roman" w:cs="Times New Roman"/>
          <w:b/>
          <w:color w:val="000000"/>
          <w:sz w:val="20"/>
          <w:szCs w:val="20"/>
        </w:rPr>
        <w:t>Source: Research Results</w:t>
      </w:r>
    </w:p>
    <w:p w:rsidR="00642728" w:rsidRDefault="00642728" w:rsidP="00F525EF">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rsidR="00642728" w:rsidRDefault="00642728" w:rsidP="00F525EF">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rsidR="00642728" w:rsidRPr="00C7392A" w:rsidRDefault="00A30734" w:rsidP="00347E38">
      <w:pPr>
        <w:pStyle w:val="ListParagraph"/>
        <w:numPr>
          <w:ilvl w:val="0"/>
          <w:numId w:val="2"/>
        </w:numPr>
        <w:pBdr>
          <w:top w:val="nil"/>
          <w:left w:val="nil"/>
          <w:bottom w:val="nil"/>
          <w:right w:val="nil"/>
          <w:between w:val="nil"/>
        </w:pBdr>
        <w:spacing w:after="120" w:line="240" w:lineRule="auto"/>
        <w:ind w:hanging="720"/>
        <w:rPr>
          <w:rFonts w:ascii="Times New Roman" w:eastAsia="Times New Roman" w:hAnsi="Times New Roman" w:cs="Times New Roman"/>
          <w:b/>
          <w:color w:val="000000"/>
          <w:sz w:val="24"/>
          <w:szCs w:val="24"/>
        </w:rPr>
      </w:pPr>
      <w:r w:rsidRPr="00C7392A">
        <w:rPr>
          <w:rFonts w:ascii="Times New Roman" w:eastAsia="Times New Roman" w:hAnsi="Times New Roman" w:cs="Times New Roman"/>
          <w:b/>
          <w:color w:val="000000"/>
          <w:sz w:val="24"/>
          <w:szCs w:val="24"/>
        </w:rPr>
        <w:t>CONCLUSION</w:t>
      </w:r>
    </w:p>
    <w:p w:rsidR="00C7392A" w:rsidRDefault="00C7392A" w:rsidP="00347E3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A30734">
        <w:rPr>
          <w:rFonts w:ascii="Times New Roman" w:eastAsia="Times New Roman" w:hAnsi="Times New Roman" w:cs="Times New Roman"/>
          <w:color w:val="000000"/>
          <w:sz w:val="24"/>
          <w:szCs w:val="24"/>
        </w:rPr>
        <w:t>The conclusions that can be drawn from research conducted on the capital structure of the pharmaceutical sub-sector companies in 2014 - 2019 are:</w:t>
      </w:r>
      <w:r>
        <w:rPr>
          <w:rFonts w:ascii="Times New Roman" w:eastAsia="Times New Roman" w:hAnsi="Times New Roman" w:cs="Times New Roman"/>
          <w:color w:val="000000"/>
          <w:sz w:val="24"/>
          <w:szCs w:val="24"/>
          <w:lang w:val="id-ID"/>
        </w:rPr>
        <w:t xml:space="preserve"> </w:t>
      </w:r>
      <w:r w:rsidR="00A30734">
        <w:rPr>
          <w:rFonts w:ascii="Times New Roman" w:eastAsia="Times New Roman" w:hAnsi="Times New Roman" w:cs="Times New Roman"/>
          <w:color w:val="000000"/>
          <w:sz w:val="24"/>
          <w:szCs w:val="24"/>
        </w:rPr>
        <w:t>In this study, financial performance analysis is used using financial ratios consisting of the profitability ratio (Return on Equity) and Dividend Policy (Dividend Payout Ratio). The profitability movement of pharmaceutical sub-sector companies has not been maximized because many companies whose profitability is still below the average each year. Most pharmaceutical sub-sector companies are still able to distribute dividends to investors.</w:t>
      </w:r>
    </w:p>
    <w:p w:rsidR="00C7392A" w:rsidRDefault="00C7392A" w:rsidP="00347E3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A30734">
        <w:rPr>
          <w:rFonts w:ascii="Times New Roman" w:eastAsia="Times New Roman" w:hAnsi="Times New Roman" w:cs="Times New Roman"/>
          <w:color w:val="000000"/>
          <w:sz w:val="24"/>
          <w:szCs w:val="24"/>
        </w:rPr>
        <w:t>The average proportion of long-term debt capital structure of pharmaceutical sub-sector companies is composed of 18.43% debt and 81.57% equity.</w:t>
      </w:r>
      <w:r>
        <w:rPr>
          <w:rFonts w:ascii="Times New Roman" w:eastAsia="Times New Roman" w:hAnsi="Times New Roman" w:cs="Times New Roman"/>
          <w:color w:val="000000"/>
          <w:sz w:val="24"/>
          <w:szCs w:val="24"/>
          <w:lang w:val="id-ID"/>
        </w:rPr>
        <w:t xml:space="preserve"> </w:t>
      </w:r>
      <w:r w:rsidR="00A30734">
        <w:rPr>
          <w:rFonts w:ascii="Times New Roman" w:eastAsia="Times New Roman" w:hAnsi="Times New Roman" w:cs="Times New Roman"/>
          <w:color w:val="000000"/>
          <w:sz w:val="24"/>
          <w:szCs w:val="24"/>
        </w:rPr>
        <w:t>In general</w:t>
      </w:r>
      <w:proofErr w:type="gramStart"/>
      <w:r w:rsidR="00A30734">
        <w:rPr>
          <w:rFonts w:ascii="Times New Roman" w:eastAsia="Times New Roman" w:hAnsi="Times New Roman" w:cs="Times New Roman"/>
          <w:color w:val="000000"/>
          <w:sz w:val="24"/>
          <w:szCs w:val="24"/>
        </w:rPr>
        <w:t>,  investors</w:t>
      </w:r>
      <w:proofErr w:type="gramEnd"/>
      <w:r w:rsidR="00A30734">
        <w:rPr>
          <w:rFonts w:ascii="Times New Roman" w:eastAsia="Times New Roman" w:hAnsi="Times New Roman" w:cs="Times New Roman"/>
          <w:color w:val="000000"/>
          <w:sz w:val="24"/>
          <w:szCs w:val="24"/>
        </w:rPr>
        <w:t xml:space="preserve"> still trust management performance in pharmaceutical sub-sector companies because most of the management conditions of pharmaceutical companies are still healthy.</w:t>
      </w:r>
      <w:r>
        <w:rPr>
          <w:rFonts w:ascii="Times New Roman" w:eastAsia="Times New Roman" w:hAnsi="Times New Roman" w:cs="Times New Roman"/>
          <w:color w:val="000000"/>
          <w:sz w:val="24"/>
          <w:szCs w:val="24"/>
          <w:lang w:val="id-ID"/>
        </w:rPr>
        <w:t xml:space="preserve"> </w:t>
      </w:r>
      <w:r w:rsidR="00A30734">
        <w:rPr>
          <w:rFonts w:ascii="Times New Roman" w:eastAsia="Times New Roman" w:hAnsi="Times New Roman" w:cs="Times New Roman"/>
          <w:color w:val="000000"/>
          <w:sz w:val="24"/>
          <w:szCs w:val="24"/>
        </w:rPr>
        <w:t xml:space="preserve">Using the Modigliani Miller approach, the current company value calculated from 2014 - 2019 an average of 3,365 billion with a capital structure consisting of 18.43% debt and 81.57% equity. Using the assumption of 0% - 100% debt shows that the highest company value of pharmaceutical sub-sector companies is in the composition of 30% debt </w:t>
      </w:r>
      <w:r w:rsidR="00A30734">
        <w:rPr>
          <w:rFonts w:ascii="Times New Roman" w:eastAsia="Times New Roman" w:hAnsi="Times New Roman" w:cs="Times New Roman"/>
          <w:color w:val="000000"/>
          <w:sz w:val="24"/>
          <w:szCs w:val="24"/>
        </w:rPr>
        <w:lastRenderedPageBreak/>
        <w:t>and 70% equity. The maximum company value in the pharmaceutical subsector is 4,553 billion with a design of 30% debt and 70% equity.</w:t>
      </w:r>
    </w:p>
    <w:p w:rsidR="00C7392A" w:rsidRDefault="00C7392A" w:rsidP="00347E3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A30734">
        <w:rPr>
          <w:rFonts w:ascii="Times New Roman" w:eastAsia="Times New Roman" w:hAnsi="Times New Roman" w:cs="Times New Roman"/>
          <w:color w:val="000000"/>
          <w:sz w:val="24"/>
          <w:szCs w:val="24"/>
        </w:rPr>
        <w:t>Using the Modigliani Miller approach, the current company value calculated from 2014 - 2019 an average of 3,365 billion with a capital structure consisting of 18.43% debt and 81.57% equity. Using the assumption of 0% - 100% debt shows that the highest company value of pharmaceutical sub-sector companies is in the composition of 30% debt and 70% equity. The maximum company value in the pharmaceutical subsector is 4,553 billion with a design of 30% debt and 70% equity.</w:t>
      </w:r>
    </w:p>
    <w:p w:rsidR="00C7392A" w:rsidRDefault="00C7392A" w:rsidP="00347E3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A30734">
        <w:rPr>
          <w:rFonts w:ascii="Times New Roman" w:eastAsia="Times New Roman" w:hAnsi="Times New Roman" w:cs="Times New Roman"/>
          <w:color w:val="000000"/>
          <w:sz w:val="24"/>
          <w:szCs w:val="24"/>
        </w:rPr>
        <w:t xml:space="preserve">The average WACC of existing companies is 11.10%, with an average composition of long-term debt of 18.43%. Meanwhile, the WACC calculation assumption of 0% - 100% debt is the lowest for capital structure pharmaceutical sub-sector companies in the composition of 40% to 60% of the debt with an average total of 47% of the debt. By producing a WACC of 1.92% to 16.89% in the pharmaceutical sub-sector companies with a total WACC average of 10%.Berdasarkan </w:t>
      </w:r>
      <w:proofErr w:type="spellStart"/>
      <w:r w:rsidR="00A30734">
        <w:rPr>
          <w:rFonts w:ascii="Times New Roman" w:eastAsia="Times New Roman" w:hAnsi="Times New Roman" w:cs="Times New Roman"/>
          <w:color w:val="000000"/>
          <w:sz w:val="24"/>
          <w:szCs w:val="24"/>
        </w:rPr>
        <w:t>dengan</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mempertimbangkan</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nilai</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perusahaan</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dan</w:t>
      </w:r>
      <w:proofErr w:type="spellEnd"/>
      <w:r w:rsidR="00A30734">
        <w:rPr>
          <w:rFonts w:ascii="Times New Roman" w:eastAsia="Times New Roman" w:hAnsi="Times New Roman" w:cs="Times New Roman"/>
          <w:color w:val="000000"/>
          <w:sz w:val="24"/>
          <w:szCs w:val="24"/>
        </w:rPr>
        <w:t xml:space="preserve"> WACC </w:t>
      </w:r>
      <w:proofErr w:type="spellStart"/>
      <w:r w:rsidR="00A30734">
        <w:rPr>
          <w:rFonts w:ascii="Times New Roman" w:eastAsia="Times New Roman" w:hAnsi="Times New Roman" w:cs="Times New Roman"/>
          <w:color w:val="000000"/>
          <w:sz w:val="24"/>
          <w:szCs w:val="24"/>
        </w:rPr>
        <w:t>diatas</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bisa</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disimpulkan</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bahwa</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struktur</w:t>
      </w:r>
      <w:proofErr w:type="spellEnd"/>
      <w:r w:rsidR="00A30734">
        <w:rPr>
          <w:rFonts w:ascii="Times New Roman" w:eastAsia="Times New Roman" w:hAnsi="Times New Roman" w:cs="Times New Roman"/>
          <w:color w:val="000000"/>
          <w:sz w:val="24"/>
          <w:szCs w:val="24"/>
        </w:rPr>
        <w:t xml:space="preserve"> modal </w:t>
      </w:r>
      <w:proofErr w:type="spellStart"/>
      <w:r w:rsidR="00A30734">
        <w:rPr>
          <w:rFonts w:ascii="Times New Roman" w:eastAsia="Times New Roman" w:hAnsi="Times New Roman" w:cs="Times New Roman"/>
          <w:color w:val="000000"/>
          <w:sz w:val="24"/>
          <w:szCs w:val="24"/>
        </w:rPr>
        <w:t>pada</w:t>
      </w:r>
      <w:proofErr w:type="spellEnd"/>
      <w:r w:rsidR="00A30734">
        <w:rPr>
          <w:rFonts w:ascii="Times New Roman" w:eastAsia="Times New Roman" w:hAnsi="Times New Roman" w:cs="Times New Roman"/>
          <w:color w:val="000000"/>
          <w:sz w:val="24"/>
          <w:szCs w:val="24"/>
        </w:rPr>
        <w:t xml:space="preserve"> </w:t>
      </w:r>
      <w:proofErr w:type="spellStart"/>
      <w:r w:rsidR="00A30734">
        <w:rPr>
          <w:rFonts w:ascii="Times New Roman" w:eastAsia="Times New Roman" w:hAnsi="Times New Roman" w:cs="Times New Roman"/>
          <w:color w:val="000000"/>
          <w:sz w:val="24"/>
          <w:szCs w:val="24"/>
        </w:rPr>
        <w:t>perusahaan</w:t>
      </w:r>
      <w:proofErr w:type="spellEnd"/>
      <w:r w:rsidR="00A30734">
        <w:rPr>
          <w:rFonts w:ascii="Times New Roman" w:eastAsia="Times New Roman" w:hAnsi="Times New Roman" w:cs="Times New Roman"/>
          <w:color w:val="000000"/>
          <w:sz w:val="24"/>
          <w:szCs w:val="24"/>
        </w:rPr>
        <w:t xml:space="preserve"> su</w:t>
      </w:r>
      <w:r>
        <w:rPr>
          <w:rFonts w:ascii="Times New Roman" w:eastAsia="Times New Roman" w:hAnsi="Times New Roman" w:cs="Times New Roman"/>
          <w:color w:val="000000"/>
          <w:sz w:val="24"/>
          <w:szCs w:val="24"/>
        </w:rPr>
        <w:t xml:space="preserve">b </w:t>
      </w:r>
      <w:proofErr w:type="spellStart"/>
      <w:r>
        <w:rPr>
          <w:rFonts w:ascii="Times New Roman" w:eastAsia="Times New Roman" w:hAnsi="Times New Roman" w:cs="Times New Roman"/>
          <w:color w:val="000000"/>
          <w:sz w:val="24"/>
          <w:szCs w:val="24"/>
        </w:rPr>
        <w:t>sektor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optimal.</w:t>
      </w:r>
    </w:p>
    <w:p w:rsidR="00642728" w:rsidRPr="00347E38" w:rsidRDefault="00C7392A" w:rsidP="00347E3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ab/>
      </w:r>
      <w:r w:rsidR="00A30734">
        <w:rPr>
          <w:rFonts w:ascii="Times New Roman" w:eastAsia="Times New Roman" w:hAnsi="Times New Roman" w:cs="Times New Roman"/>
          <w:color w:val="000000"/>
          <w:sz w:val="24"/>
          <w:szCs w:val="24"/>
        </w:rPr>
        <w:t>Alternative strategies that can be carried out by pharmaceutical sub-sector companies with the linkage between internal and external factors SWOT analysis produce SO, ST, WO, and WT strategies that can be summed up on the following points:</w:t>
      </w:r>
      <w:r w:rsidR="00347E38">
        <w:rPr>
          <w:rFonts w:ascii="Times New Roman" w:eastAsia="Times New Roman" w:hAnsi="Times New Roman" w:cs="Times New Roman"/>
          <w:color w:val="000000"/>
          <w:sz w:val="24"/>
          <w:szCs w:val="24"/>
          <w:lang w:val="id-ID"/>
        </w:rPr>
        <w:t xml:space="preserve"> </w:t>
      </w:r>
      <w:r w:rsidR="00A30734">
        <w:rPr>
          <w:rFonts w:ascii="Times New Roman" w:eastAsia="Times New Roman" w:hAnsi="Times New Roman" w:cs="Times New Roman"/>
          <w:sz w:val="24"/>
          <w:szCs w:val="24"/>
        </w:rPr>
        <w:t>Improve producti</w:t>
      </w:r>
      <w:r w:rsidR="00347E38">
        <w:rPr>
          <w:rFonts w:ascii="Times New Roman" w:eastAsia="Times New Roman" w:hAnsi="Times New Roman" w:cs="Times New Roman"/>
          <w:sz w:val="24"/>
          <w:szCs w:val="24"/>
        </w:rPr>
        <w:t>on quality and streamline costs</w:t>
      </w:r>
      <w:r w:rsidR="00347E38">
        <w:rPr>
          <w:rFonts w:ascii="Times New Roman" w:eastAsia="Times New Roman" w:hAnsi="Times New Roman" w:cs="Times New Roman"/>
          <w:sz w:val="24"/>
          <w:szCs w:val="24"/>
          <w:lang w:val="id-ID"/>
        </w:rPr>
        <w:t xml:space="preserve">. </w:t>
      </w:r>
      <w:proofErr w:type="gramStart"/>
      <w:r w:rsidR="00A30734">
        <w:rPr>
          <w:rFonts w:ascii="Times New Roman" w:eastAsia="Times New Roman" w:hAnsi="Times New Roman" w:cs="Times New Roman"/>
          <w:sz w:val="24"/>
          <w:szCs w:val="24"/>
        </w:rPr>
        <w:t>Expanding market share to increase sales by cooperatin</w:t>
      </w:r>
      <w:r w:rsidR="00347E38">
        <w:rPr>
          <w:rFonts w:ascii="Times New Roman" w:eastAsia="Times New Roman" w:hAnsi="Times New Roman" w:cs="Times New Roman"/>
          <w:sz w:val="24"/>
          <w:szCs w:val="24"/>
        </w:rPr>
        <w:t>g with hospitals and pharmacies</w:t>
      </w:r>
      <w:r w:rsidR="00347E38">
        <w:rPr>
          <w:rFonts w:ascii="Times New Roman" w:eastAsia="Times New Roman" w:hAnsi="Times New Roman" w:cs="Times New Roman"/>
          <w:sz w:val="24"/>
          <w:szCs w:val="24"/>
          <w:lang w:val="id-ID"/>
        </w:rPr>
        <w:t>.</w:t>
      </w:r>
      <w:proofErr w:type="gramEnd"/>
      <w:r w:rsidR="00347E38">
        <w:rPr>
          <w:rFonts w:ascii="Times New Roman" w:eastAsia="Times New Roman" w:hAnsi="Times New Roman" w:cs="Times New Roman"/>
          <w:sz w:val="24"/>
          <w:szCs w:val="24"/>
          <w:lang w:val="id-ID"/>
        </w:rPr>
        <w:t xml:space="preserve"> </w:t>
      </w:r>
      <w:r w:rsidR="00A30734">
        <w:rPr>
          <w:rFonts w:ascii="Times New Roman" w:eastAsia="Times New Roman" w:hAnsi="Times New Roman" w:cs="Times New Roman"/>
          <w:sz w:val="24"/>
          <w:szCs w:val="24"/>
        </w:rPr>
        <w:t>Increase the distribution of dividends for investors in building a po</w:t>
      </w:r>
      <w:r w:rsidR="00347E38">
        <w:rPr>
          <w:rFonts w:ascii="Times New Roman" w:eastAsia="Times New Roman" w:hAnsi="Times New Roman" w:cs="Times New Roman"/>
          <w:sz w:val="24"/>
          <w:szCs w:val="24"/>
        </w:rPr>
        <w:t>sitive image of the company</w:t>
      </w:r>
      <w:r w:rsidR="00347E38">
        <w:rPr>
          <w:rFonts w:ascii="Times New Roman" w:eastAsia="Times New Roman" w:hAnsi="Times New Roman" w:cs="Times New Roman"/>
          <w:sz w:val="24"/>
          <w:szCs w:val="24"/>
          <w:lang w:val="id-ID"/>
        </w:rPr>
        <w:t xml:space="preserve">. </w:t>
      </w:r>
      <w:r w:rsidR="00A30734">
        <w:rPr>
          <w:rFonts w:ascii="Times New Roman" w:eastAsia="Times New Roman" w:hAnsi="Times New Roman" w:cs="Times New Roman"/>
          <w:sz w:val="24"/>
          <w:szCs w:val="24"/>
        </w:rPr>
        <w:t>Capable of producing products efficientl</w:t>
      </w:r>
      <w:r w:rsidR="00347E38">
        <w:rPr>
          <w:rFonts w:ascii="Times New Roman" w:eastAsia="Times New Roman" w:hAnsi="Times New Roman" w:cs="Times New Roman"/>
          <w:sz w:val="24"/>
          <w:szCs w:val="24"/>
        </w:rPr>
        <w:t>y to offer lower selling prices</w:t>
      </w:r>
      <w:r w:rsidR="00347E38">
        <w:rPr>
          <w:rFonts w:ascii="Times New Roman" w:eastAsia="Times New Roman" w:hAnsi="Times New Roman" w:cs="Times New Roman"/>
          <w:sz w:val="24"/>
          <w:szCs w:val="24"/>
          <w:lang w:val="id-ID"/>
        </w:rPr>
        <w:t xml:space="preserve">. </w:t>
      </w:r>
      <w:r w:rsidR="00A30734">
        <w:rPr>
          <w:rFonts w:ascii="Times New Roman" w:eastAsia="Times New Roman" w:hAnsi="Times New Roman" w:cs="Times New Roman"/>
          <w:sz w:val="24"/>
          <w:szCs w:val="24"/>
        </w:rPr>
        <w:t>The company can still increase the debt to reach the l</w:t>
      </w:r>
      <w:r w:rsidR="00347E38">
        <w:rPr>
          <w:rFonts w:ascii="Times New Roman" w:eastAsia="Times New Roman" w:hAnsi="Times New Roman" w:cs="Times New Roman"/>
          <w:sz w:val="24"/>
          <w:szCs w:val="24"/>
        </w:rPr>
        <w:t>owest and maximum company value</w:t>
      </w:r>
      <w:r w:rsidR="00347E38">
        <w:rPr>
          <w:rFonts w:ascii="Times New Roman" w:eastAsia="Times New Roman" w:hAnsi="Times New Roman" w:cs="Times New Roman"/>
          <w:sz w:val="24"/>
          <w:szCs w:val="24"/>
          <w:lang w:val="id-ID"/>
        </w:rPr>
        <w:t xml:space="preserve">. </w:t>
      </w:r>
      <w:proofErr w:type="gramStart"/>
      <w:r w:rsidR="00A30734">
        <w:rPr>
          <w:rFonts w:ascii="Times New Roman" w:eastAsia="Times New Roman" w:hAnsi="Times New Roman" w:cs="Times New Roman"/>
          <w:sz w:val="24"/>
          <w:szCs w:val="24"/>
        </w:rPr>
        <w:t>Breaking the share price down to increase the liquidity of</w:t>
      </w:r>
      <w:r w:rsidR="00347E38">
        <w:rPr>
          <w:rFonts w:ascii="Times New Roman" w:eastAsia="Times New Roman" w:hAnsi="Times New Roman" w:cs="Times New Roman"/>
          <w:sz w:val="24"/>
          <w:szCs w:val="24"/>
        </w:rPr>
        <w:t xml:space="preserve"> the company's shares</w:t>
      </w:r>
      <w:r w:rsidR="00347E38">
        <w:rPr>
          <w:rFonts w:ascii="Times New Roman" w:eastAsia="Times New Roman" w:hAnsi="Times New Roman" w:cs="Times New Roman"/>
          <w:sz w:val="24"/>
          <w:szCs w:val="24"/>
          <w:lang w:val="id-ID"/>
        </w:rPr>
        <w:t>.</w:t>
      </w:r>
      <w:proofErr w:type="gramEnd"/>
      <w:r w:rsidR="00347E38">
        <w:rPr>
          <w:rFonts w:ascii="Times New Roman" w:eastAsia="Times New Roman" w:hAnsi="Times New Roman" w:cs="Times New Roman"/>
          <w:sz w:val="24"/>
          <w:szCs w:val="24"/>
          <w:lang w:val="id-ID"/>
        </w:rPr>
        <w:t xml:space="preserve"> </w:t>
      </w:r>
      <w:r w:rsidR="00A30734">
        <w:rPr>
          <w:rFonts w:ascii="Times New Roman" w:eastAsia="Times New Roman" w:hAnsi="Times New Roman" w:cs="Times New Roman"/>
          <w:sz w:val="24"/>
          <w:szCs w:val="24"/>
        </w:rPr>
        <w:t>Utilizing the potential of domestic raw material resources and cooperating with domestic raw material agents to get lower qualit</w:t>
      </w:r>
      <w:r w:rsidR="00347E38">
        <w:rPr>
          <w:rFonts w:ascii="Times New Roman" w:eastAsia="Times New Roman" w:hAnsi="Times New Roman" w:cs="Times New Roman"/>
          <w:sz w:val="24"/>
          <w:szCs w:val="24"/>
        </w:rPr>
        <w:t>y and reasonable quality prices</w:t>
      </w:r>
      <w:r w:rsidR="00347E38">
        <w:rPr>
          <w:rFonts w:ascii="Times New Roman" w:eastAsia="Times New Roman" w:hAnsi="Times New Roman" w:cs="Times New Roman"/>
          <w:sz w:val="24"/>
          <w:szCs w:val="24"/>
          <w:lang w:val="id-ID"/>
        </w:rPr>
        <w:t xml:space="preserve">. </w:t>
      </w:r>
      <w:r w:rsidR="00A30734">
        <w:rPr>
          <w:rFonts w:ascii="Times New Roman" w:eastAsia="Times New Roman" w:hAnsi="Times New Roman" w:cs="Times New Roman"/>
          <w:sz w:val="24"/>
          <w:szCs w:val="24"/>
        </w:rPr>
        <w:t>Improve the quality of all resources owned by the company in human resources, natural resources, and technology.</w:t>
      </w:r>
      <w:r w:rsidR="00347E38">
        <w:rPr>
          <w:rFonts w:ascii="Times New Roman" w:eastAsia="Times New Roman" w:hAnsi="Times New Roman" w:cs="Times New Roman"/>
          <w:color w:val="000000"/>
          <w:sz w:val="24"/>
          <w:szCs w:val="24"/>
          <w:lang w:val="id-ID"/>
        </w:rPr>
        <w:t xml:space="preserve"> C</w:t>
      </w:r>
      <w:proofErr w:type="spellStart"/>
      <w:r w:rsidR="00A30734">
        <w:rPr>
          <w:rFonts w:ascii="Times New Roman" w:eastAsia="Times New Roman" w:hAnsi="Times New Roman" w:cs="Times New Roman"/>
          <w:sz w:val="24"/>
          <w:szCs w:val="24"/>
        </w:rPr>
        <w:t>ontrol</w:t>
      </w:r>
      <w:proofErr w:type="spellEnd"/>
      <w:r w:rsidR="00A30734">
        <w:rPr>
          <w:rFonts w:ascii="Times New Roman" w:eastAsia="Times New Roman" w:hAnsi="Times New Roman" w:cs="Times New Roman"/>
          <w:sz w:val="24"/>
          <w:szCs w:val="24"/>
        </w:rPr>
        <w:t xml:space="preserve"> and adjust the economic instability in Indonesia in financial planning so that the company's operations run previous periods.</w:t>
      </w:r>
    </w:p>
    <w:p w:rsidR="00642728" w:rsidRDefault="00642728" w:rsidP="00F525EF">
      <w:pPr>
        <w:spacing w:after="0" w:line="240" w:lineRule="auto"/>
        <w:jc w:val="center"/>
        <w:rPr>
          <w:rFonts w:ascii="Times New Roman" w:eastAsia="Times New Roman" w:hAnsi="Times New Roman" w:cs="Times New Roman"/>
          <w:b/>
          <w:sz w:val="24"/>
          <w:szCs w:val="24"/>
        </w:rPr>
      </w:pPr>
    </w:p>
    <w:p w:rsidR="00642728" w:rsidRDefault="00642728" w:rsidP="00F525EF">
      <w:pPr>
        <w:spacing w:after="0" w:line="240" w:lineRule="auto"/>
        <w:jc w:val="both"/>
        <w:rPr>
          <w:rFonts w:ascii="Times New Roman" w:eastAsia="Times New Roman" w:hAnsi="Times New Roman" w:cs="Times New Roman"/>
          <w:b/>
          <w:sz w:val="24"/>
          <w:szCs w:val="24"/>
        </w:rPr>
      </w:pPr>
    </w:p>
    <w:p w:rsidR="00642728" w:rsidRDefault="00A30734" w:rsidP="00F525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642728" w:rsidRDefault="00642728" w:rsidP="00F525EF">
      <w:pPr>
        <w:spacing w:after="0" w:line="240" w:lineRule="auto"/>
        <w:jc w:val="both"/>
        <w:rPr>
          <w:rFonts w:ascii="Times New Roman" w:eastAsia="Times New Roman" w:hAnsi="Times New Roman" w:cs="Times New Roman"/>
          <w:b/>
          <w:sz w:val="24"/>
          <w:szCs w:val="24"/>
        </w:rPr>
      </w:pPr>
    </w:p>
    <w:p w:rsidR="00642728" w:rsidRDefault="00A30734" w:rsidP="00B03097">
      <w:pPr>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Agatha Olivia V. (2020).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83%,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BPJS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per </w:t>
      </w:r>
      <w:proofErr w:type="spellStart"/>
      <w:r>
        <w:rPr>
          <w:rFonts w:ascii="Times New Roman" w:eastAsia="Times New Roman" w:hAnsi="Times New Roman" w:cs="Times New Roman"/>
          <w:sz w:val="24"/>
          <w:szCs w:val="24"/>
        </w:rPr>
        <w:t>Akhir</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Capai</w:t>
      </w:r>
      <w:proofErr w:type="spellEnd"/>
      <w:r>
        <w:rPr>
          <w:rFonts w:ascii="Times New Roman" w:eastAsia="Times New Roman" w:hAnsi="Times New Roman" w:cs="Times New Roman"/>
          <w:sz w:val="24"/>
          <w:szCs w:val="24"/>
        </w:rPr>
        <w:t xml:space="preserve"> 224 </w:t>
      </w:r>
      <w:proofErr w:type="spellStart"/>
      <w:r>
        <w:rPr>
          <w:rFonts w:ascii="Times New Roman" w:eastAsia="Times New Roman" w:hAnsi="Times New Roman" w:cs="Times New Roman"/>
          <w:sz w:val="24"/>
          <w:szCs w:val="24"/>
        </w:rPr>
        <w:t>Juta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Jiwa</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Katadata.co.id). https://katadata.co.id/desysetyowati/finansial/5e9a4c3b84166/baru-83-peserta-bpjs-kesehatan-per-akhir-2019-capai-224-juta-jiwa</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Almeman</w:t>
      </w:r>
      <w:proofErr w:type="spellEnd"/>
      <w:r>
        <w:rPr>
          <w:rFonts w:ascii="Times New Roman" w:eastAsia="Times New Roman" w:hAnsi="Times New Roman" w:cs="Times New Roman"/>
          <w:sz w:val="24"/>
          <w:szCs w:val="24"/>
        </w:rPr>
        <w:t xml:space="preserve">, A. A. (2020). </w:t>
      </w:r>
      <w:proofErr w:type="gramStart"/>
      <w:r>
        <w:rPr>
          <w:rFonts w:ascii="Times New Roman" w:eastAsia="Times New Roman" w:hAnsi="Times New Roman" w:cs="Times New Roman"/>
          <w:sz w:val="24"/>
          <w:szCs w:val="24"/>
        </w:rPr>
        <w:t>Strategic analysis of clinical pharmacy education in Saudi Arabia.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Tropical Journal of Pharmaceutical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(6), 1303–1311. https://doi.org/10.4314/tjpr.v19i6.27</w:t>
      </w:r>
    </w:p>
    <w:p w:rsidR="00642728" w:rsidRDefault="00A30734" w:rsidP="00B03097">
      <w:pPr>
        <w:spacing w:line="240" w:lineRule="auto"/>
        <w:ind w:left="450" w:hanging="4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Ananda</w:t>
      </w:r>
      <w:proofErr w:type="spellEnd"/>
      <w:r>
        <w:rPr>
          <w:rFonts w:ascii="Times New Roman" w:eastAsia="Times New Roman" w:hAnsi="Times New Roman" w:cs="Times New Roman"/>
          <w:sz w:val="24"/>
          <w:szCs w:val="24"/>
        </w:rPr>
        <w:t xml:space="preserve">, A. F. (2018). </w:t>
      </w:r>
      <w:proofErr w:type="spellStart"/>
      <w:r>
        <w:rPr>
          <w:rFonts w:ascii="Times New Roman" w:eastAsia="Times New Roman" w:hAnsi="Times New Roman" w:cs="Times New Roman"/>
          <w:sz w:val="24"/>
          <w:szCs w:val="24"/>
        </w:rPr>
        <w:t>Stuktur</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Kinerja</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Altman Z-Score   </w:t>
      </w:r>
      <w:proofErr w:type="spellStart"/>
      <w:r>
        <w:rPr>
          <w:rFonts w:ascii="Times New Roman" w:eastAsia="Times New Roman" w:hAnsi="Times New Roman" w:cs="Times New Roman"/>
          <w:sz w:val="24"/>
          <w:szCs w:val="24"/>
        </w:rPr>
        <w:t>Pengaruhnya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Ekspektasi</w:t>
      </w:r>
      <w:proofErr w:type="spellEnd"/>
      <w:r>
        <w:rPr>
          <w:rFonts w:ascii="Times New Roman" w:eastAsia="Times New Roman" w:hAnsi="Times New Roman" w:cs="Times New Roman"/>
          <w:sz w:val="24"/>
          <w:szCs w:val="24"/>
        </w:rPr>
        <w:t xml:space="preserve"> Investor. </w:t>
      </w:r>
      <w:r>
        <w:rPr>
          <w:rFonts w:ascii="Times New Roman" w:eastAsia="Times New Roman" w:hAnsi="Times New Roman" w:cs="Times New Roman"/>
          <w:i/>
          <w:sz w:val="24"/>
          <w:szCs w:val="24"/>
        </w:rPr>
        <w:t>Accounting and Financial Review, 1(1): 9-16</w:t>
      </w:r>
      <w:r>
        <w:rPr>
          <w:rFonts w:ascii="Times New Roman" w:eastAsia="Times New Roman" w:hAnsi="Times New Roman" w:cs="Times New Roman"/>
          <w:sz w:val="24"/>
          <w:szCs w:val="24"/>
        </w:rPr>
        <w:t>.</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Anggoro</w:t>
      </w:r>
      <w:proofErr w:type="spellEnd"/>
      <w:r>
        <w:rPr>
          <w:rFonts w:ascii="Times New Roman" w:eastAsia="Times New Roman" w:hAnsi="Times New Roman" w:cs="Times New Roman"/>
          <w:sz w:val="24"/>
          <w:szCs w:val="24"/>
        </w:rPr>
        <w:t xml:space="preserve">, E. D., </w:t>
      </w:r>
      <w:proofErr w:type="spellStart"/>
      <w:r>
        <w:rPr>
          <w:rFonts w:ascii="Times New Roman" w:eastAsia="Times New Roman" w:hAnsi="Times New Roman" w:cs="Times New Roman"/>
          <w:sz w:val="24"/>
          <w:szCs w:val="24"/>
        </w:rPr>
        <w:t>Zulbainarni</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Sasongko</w:t>
      </w:r>
      <w:proofErr w:type="spellEnd"/>
      <w:r>
        <w:rPr>
          <w:rFonts w:ascii="Times New Roman" w:eastAsia="Times New Roman" w:hAnsi="Times New Roman" w:cs="Times New Roman"/>
          <w:sz w:val="24"/>
          <w:szCs w:val="24"/>
        </w:rPr>
        <w:t>, H. (2020).</w:t>
      </w:r>
      <w:proofErr w:type="gramEnd"/>
      <w:r>
        <w:rPr>
          <w:rFonts w:ascii="Times New Roman" w:eastAsia="Times New Roman" w:hAnsi="Times New Roman" w:cs="Times New Roman"/>
          <w:sz w:val="24"/>
          <w:szCs w:val="24"/>
        </w:rPr>
        <w:t xml:space="preserve"> Capital Structure Strategy of the Non-Bank Financial Industry in the Microfinance Business (Case Study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Pt. Xyz).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Aplikasi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 106–117.</w:t>
      </w:r>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Agustine</w:t>
      </w:r>
      <w:proofErr w:type="spellEnd"/>
      <w:r>
        <w:rPr>
          <w:rFonts w:ascii="Times New Roman" w:eastAsia="Times New Roman" w:hAnsi="Times New Roman" w:cs="Times New Roman"/>
          <w:color w:val="000000"/>
          <w:sz w:val="24"/>
          <w:szCs w:val="24"/>
        </w:rPr>
        <w:t xml:space="preserve">, I., &amp; </w:t>
      </w:r>
      <w:proofErr w:type="spellStart"/>
      <w:r>
        <w:rPr>
          <w:rFonts w:ascii="Times New Roman" w:eastAsia="Times New Roman" w:hAnsi="Times New Roman" w:cs="Times New Roman"/>
          <w:color w:val="000000"/>
          <w:sz w:val="24"/>
          <w:szCs w:val="24"/>
        </w:rPr>
        <w:t>Chrestinawati</w:t>
      </w:r>
      <w:proofErr w:type="spellEnd"/>
      <w:r>
        <w:rPr>
          <w:rFonts w:ascii="Times New Roman" w:eastAsia="Times New Roman" w:hAnsi="Times New Roman" w:cs="Times New Roman"/>
          <w:color w:val="000000"/>
          <w:sz w:val="24"/>
          <w:szCs w:val="24"/>
        </w:rPr>
        <w:t>, M. (2003).</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keakuratan</w:t>
      </w:r>
      <w:proofErr w:type="spellEnd"/>
      <w:r>
        <w:rPr>
          <w:rFonts w:ascii="Times New Roman" w:eastAsia="Times New Roman" w:hAnsi="Times New Roman" w:cs="Times New Roman"/>
          <w:color w:val="000000"/>
          <w:sz w:val="24"/>
          <w:szCs w:val="24"/>
        </w:rPr>
        <w:t xml:space="preserve"> Z-score model </w:t>
      </w:r>
      <w:proofErr w:type="spellStart"/>
      <w:r>
        <w:rPr>
          <w:rFonts w:ascii="Times New Roman" w:eastAsia="Times New Roman" w:hAnsi="Times New Roman" w:cs="Times New Roman"/>
          <w:color w:val="000000"/>
          <w:sz w:val="24"/>
          <w:szCs w:val="24"/>
        </w:rPr>
        <w:t>altman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memprediksi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kondisi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perusahaan-perusahaan</w:t>
      </w:r>
      <w:proofErr w:type="spellEnd"/>
      <w:r>
        <w:rPr>
          <w:rFonts w:ascii="Times New Roman" w:eastAsia="Times New Roman" w:hAnsi="Times New Roman" w:cs="Times New Roman"/>
          <w:color w:val="000000"/>
          <w:sz w:val="24"/>
          <w:szCs w:val="24"/>
        </w:rPr>
        <w:t xml:space="preserve"> di Indonesia, Undergraduate Thesis. </w:t>
      </w:r>
      <w:proofErr w:type="spellStart"/>
      <w:proofErr w:type="gram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Kristen Petra.</w:t>
      </w:r>
      <w:proofErr w:type="gramEnd"/>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Astuti</w:t>
      </w:r>
      <w:proofErr w:type="spellEnd"/>
      <w:r>
        <w:rPr>
          <w:rFonts w:ascii="Times New Roman" w:eastAsia="Times New Roman" w:hAnsi="Times New Roman" w:cs="Times New Roman"/>
          <w:sz w:val="24"/>
          <w:szCs w:val="24"/>
        </w:rPr>
        <w:t xml:space="preserve">, A. M. I., &amp; </w:t>
      </w:r>
      <w:proofErr w:type="spellStart"/>
      <w:r>
        <w:rPr>
          <w:rFonts w:ascii="Times New Roman" w:eastAsia="Times New Roman" w:hAnsi="Times New Roman" w:cs="Times New Roman"/>
          <w:sz w:val="24"/>
          <w:szCs w:val="24"/>
        </w:rPr>
        <w:t>Ratnawati</w:t>
      </w:r>
      <w:proofErr w:type="spellEnd"/>
      <w:r>
        <w:rPr>
          <w:rFonts w:ascii="Times New Roman" w:eastAsia="Times New Roman" w:hAnsi="Times New Roman" w:cs="Times New Roman"/>
          <w:sz w:val="24"/>
          <w:szCs w:val="24"/>
        </w:rPr>
        <w:t xml:space="preserve">, S. (2020).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SWOT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Pemasaran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di Kantor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Kota </w:t>
      </w:r>
      <w:proofErr w:type="spellStart"/>
      <w:r>
        <w:rPr>
          <w:rFonts w:ascii="Times New Roman" w:eastAsia="Times New Roman" w:hAnsi="Times New Roman" w:cs="Times New Roman"/>
          <w:sz w:val="24"/>
          <w:szCs w:val="24"/>
        </w:rPr>
        <w:t>Magelang</w:t>
      </w:r>
      <w:proofErr w:type="spellEnd"/>
      <w:r>
        <w:rPr>
          <w:rFonts w:ascii="Times New Roman" w:eastAsia="Times New Roman" w:hAnsi="Times New Roman" w:cs="Times New Roman"/>
          <w:sz w:val="24"/>
          <w:szCs w:val="24"/>
        </w:rPr>
        <w:t xml:space="preserve"> 56100).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(1), 58–70.</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Azzery</w:t>
      </w:r>
      <w:proofErr w:type="spellEnd"/>
      <w:r>
        <w:rPr>
          <w:rFonts w:ascii="Times New Roman" w:eastAsia="Times New Roman" w:hAnsi="Times New Roman" w:cs="Times New Roman"/>
          <w:sz w:val="24"/>
          <w:szCs w:val="24"/>
        </w:rPr>
        <w:t xml:space="preserve">, Y., &amp; </w:t>
      </w:r>
      <w:proofErr w:type="spellStart"/>
      <w:r>
        <w:rPr>
          <w:rFonts w:ascii="Times New Roman" w:eastAsia="Times New Roman" w:hAnsi="Times New Roman" w:cs="Times New Roman"/>
          <w:sz w:val="24"/>
          <w:szCs w:val="24"/>
        </w:rPr>
        <w:t>Krisnadi</w:t>
      </w:r>
      <w:proofErr w:type="spellEnd"/>
      <w:r>
        <w:rPr>
          <w:rFonts w:ascii="Times New Roman" w:eastAsia="Times New Roman" w:hAnsi="Times New Roman" w:cs="Times New Roman"/>
          <w:sz w:val="24"/>
          <w:szCs w:val="24"/>
        </w:rPr>
        <w:t>, I. (2019).</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i/>
          <w:sz w:val="24"/>
          <w:szCs w:val="24"/>
        </w:rPr>
        <w:t>Strategi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Pengembangan</w:t>
      </w:r>
      <w:proofErr w:type="spellEnd"/>
      <w:r>
        <w:rPr>
          <w:rFonts w:ascii="Times New Roman" w:eastAsia="Times New Roman" w:hAnsi="Times New Roman" w:cs="Times New Roman"/>
          <w:i/>
          <w:sz w:val="24"/>
          <w:szCs w:val="24"/>
        </w:rPr>
        <w:t xml:space="preserve"> e-Sport di Indonesia </w:t>
      </w:r>
      <w:proofErr w:type="spellStart"/>
      <w:r>
        <w:rPr>
          <w:rFonts w:ascii="Times New Roman" w:eastAsia="Times New Roman" w:hAnsi="Times New Roman" w:cs="Times New Roman"/>
          <w:i/>
          <w:sz w:val="24"/>
          <w:szCs w:val="24"/>
        </w:rPr>
        <w:t>Menggunakan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Metode</w:t>
      </w:r>
      <w:proofErr w:type="spellEnd"/>
      <w:r>
        <w:rPr>
          <w:rFonts w:ascii="Times New Roman" w:eastAsia="Times New Roman" w:hAnsi="Times New Roman" w:cs="Times New Roman"/>
          <w:i/>
          <w:sz w:val="24"/>
          <w:szCs w:val="24"/>
        </w:rPr>
        <w:t xml:space="preserve"> SWOT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1–5.</w:t>
      </w:r>
      <w:proofErr w:type="gramEnd"/>
    </w:p>
    <w:p w:rsidR="00642728" w:rsidRDefault="00A30734" w:rsidP="00B03097">
      <w:pPr>
        <w:widowControl w:val="0"/>
        <w:pBdr>
          <w:top w:val="nil"/>
          <w:left w:val="nil"/>
          <w:bottom w:val="nil"/>
          <w:right w:val="nil"/>
          <w:between w:val="nil"/>
        </w:pBdr>
        <w:spacing w:after="0" w:line="240" w:lineRule="auto"/>
        <w:ind w:left="720" w:right="999"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Bodie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Zvi</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Kane, Alex., and Marcus, Alan J. </w:t>
      </w:r>
      <w:r>
        <w:rPr>
          <w:rFonts w:ascii="Times New Roman" w:eastAsia="Times New Roman" w:hAnsi="Times New Roman" w:cs="Times New Roman"/>
          <w:i/>
          <w:color w:val="000000"/>
          <w:sz w:val="24"/>
          <w:szCs w:val="24"/>
        </w:rPr>
        <w:t xml:space="preserve">Investments </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edition).(2009) Singapore: McGraw-Hill.</w:t>
      </w:r>
    </w:p>
    <w:p w:rsidR="00642728" w:rsidRDefault="00642728" w:rsidP="00B03097">
      <w:pPr>
        <w:spacing w:line="240" w:lineRule="auto"/>
        <w:jc w:val="both"/>
        <w:rPr>
          <w:rFonts w:ascii="Times New Roman" w:eastAsia="Times New Roman" w:hAnsi="Times New Roman" w:cs="Times New Roman"/>
          <w:sz w:val="24"/>
          <w:szCs w:val="24"/>
        </w:rPr>
      </w:pPr>
      <w:bookmarkStart w:id="0" w:name="_GoBack"/>
      <w:bookmarkEnd w:id="0"/>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Brigham, Eugene F. and </w:t>
      </w:r>
      <w:proofErr w:type="spellStart"/>
      <w:r>
        <w:rPr>
          <w:rFonts w:ascii="Times New Roman" w:eastAsia="Times New Roman" w:hAnsi="Times New Roman" w:cs="Times New Roman"/>
          <w:color w:val="000000"/>
          <w:sz w:val="24"/>
          <w:szCs w:val="24"/>
        </w:rPr>
        <w:t>Pihilip</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Daves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(2007). </w:t>
      </w:r>
      <w:r>
        <w:rPr>
          <w:rFonts w:ascii="Times New Roman" w:eastAsia="Times New Roman" w:hAnsi="Times New Roman" w:cs="Times New Roman"/>
          <w:i/>
          <w:color w:val="000000"/>
          <w:sz w:val="24"/>
          <w:szCs w:val="24"/>
        </w:rPr>
        <w:t>Intermediate Financial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Management (9</w:t>
      </w:r>
      <w:r>
        <w:rPr>
          <w:rFonts w:ascii="Times New Roman" w:eastAsia="Times New Roman" w:hAnsi="Times New Roman" w:cs="Times New Roman"/>
          <w:i/>
          <w:color w:val="000000"/>
          <w:sz w:val="24"/>
          <w:szCs w:val="24"/>
          <w:vertAlign w:val="superscript"/>
        </w:rPr>
        <w:t>th</w:t>
      </w:r>
      <w:r>
        <w:rPr>
          <w:rFonts w:ascii="Times New Roman" w:eastAsia="Times New Roman" w:hAnsi="Times New Roman" w:cs="Times New Roman"/>
          <w:i/>
          <w:color w:val="000000"/>
          <w:sz w:val="24"/>
          <w:szCs w:val="24"/>
        </w:rPr>
        <w:t xml:space="preserve"> edition).</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USA: Thomson/South-Western.</w:t>
      </w:r>
    </w:p>
    <w:p w:rsidR="00642728" w:rsidRDefault="00A30734" w:rsidP="00B03097">
      <w:pPr>
        <w:spacing w:before="200" w:line="240" w:lineRule="auto"/>
        <w:ind w:left="450" w:right="992" w:hanging="45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Bris</w:t>
      </w:r>
      <w:proofErr w:type="spellEnd"/>
      <w:r>
        <w:rPr>
          <w:rFonts w:ascii="Times New Roman" w:eastAsia="Times New Roman" w:hAnsi="Times New Roman" w:cs="Times New Roman"/>
          <w:sz w:val="24"/>
          <w:szCs w:val="24"/>
        </w:rPr>
        <w:t xml:space="preserve">, Arturo, Ivo Welch, and </w:t>
      </w:r>
      <w:proofErr w:type="spellStart"/>
      <w:r>
        <w:rPr>
          <w:rFonts w:ascii="Times New Roman" w:eastAsia="Times New Roman" w:hAnsi="Times New Roman" w:cs="Times New Roman"/>
          <w:sz w:val="24"/>
          <w:szCs w:val="24"/>
        </w:rPr>
        <w:t>Ning</w:t>
      </w:r>
      <w:proofErr w:type="spellEnd"/>
      <w:r>
        <w:rPr>
          <w:rFonts w:ascii="Times New Roman" w:eastAsia="Times New Roman" w:hAnsi="Times New Roman" w:cs="Times New Roman"/>
          <w:sz w:val="24"/>
          <w:szCs w:val="24"/>
        </w:rPr>
        <w:t xml:space="preserve"> Zhu.</w:t>
      </w:r>
      <w:proofErr w:type="gramEnd"/>
      <w:r>
        <w:rPr>
          <w:rFonts w:ascii="Times New Roman" w:eastAsia="Times New Roman" w:hAnsi="Times New Roman" w:cs="Times New Roman"/>
          <w:sz w:val="24"/>
          <w:szCs w:val="24"/>
        </w:rPr>
        <w:t xml:space="preserve"> (1998).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Cost of Bankruptcy: Chapter 7 Liquidation versus Chapter 11 Reorganization. </w:t>
      </w:r>
      <w:proofErr w:type="gramStart"/>
      <w:r>
        <w:rPr>
          <w:rFonts w:ascii="Times New Roman" w:eastAsia="Times New Roman" w:hAnsi="Times New Roman" w:cs="Times New Roman"/>
          <w:sz w:val="24"/>
          <w:szCs w:val="24"/>
        </w:rPr>
        <w:t>Journal of Finance.</w:t>
      </w:r>
      <w:proofErr w:type="gramEnd"/>
      <w:r>
        <w:rPr>
          <w:rFonts w:ascii="Times New Roman" w:eastAsia="Times New Roman" w:hAnsi="Times New Roman" w:cs="Times New Roman"/>
          <w:sz w:val="24"/>
          <w:szCs w:val="24"/>
        </w:rPr>
        <w:t xml:space="preserve"> October 1998.</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Cahya</w:t>
      </w:r>
      <w:proofErr w:type="spellEnd"/>
      <w:r>
        <w:rPr>
          <w:rFonts w:ascii="Times New Roman" w:eastAsia="Times New Roman" w:hAnsi="Times New Roman" w:cs="Times New Roman"/>
          <w:sz w:val="24"/>
          <w:szCs w:val="24"/>
        </w:rPr>
        <w:t>, W. (2020).</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Analisis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Swot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Terhadap</w:t>
      </w:r>
      <w:proofErr w:type="spell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Pt</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Chandra </w:t>
      </w:r>
      <w:proofErr w:type="spellStart"/>
      <w:r>
        <w:rPr>
          <w:rFonts w:ascii="Times New Roman" w:eastAsia="Times New Roman" w:hAnsi="Times New Roman" w:cs="Times New Roman"/>
          <w:i/>
          <w:sz w:val="24"/>
          <w:szCs w:val="24"/>
        </w:rPr>
        <w:t>Sakti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Utama</w:t>
      </w:r>
      <w:proofErr w:type="spellEnd"/>
      <w:r>
        <w:rPr>
          <w:rFonts w:ascii="Times New Roman" w:eastAsia="Times New Roman" w:hAnsi="Times New Roman" w:cs="Times New Roman"/>
          <w:i/>
          <w:sz w:val="24"/>
          <w:szCs w:val="24"/>
        </w:rPr>
        <w:t xml:space="preserve"> Leasing </w:t>
      </w:r>
      <w:proofErr w:type="spellStart"/>
      <w:r>
        <w:rPr>
          <w:rFonts w:ascii="Times New Roman" w:eastAsia="Times New Roman" w:hAnsi="Times New Roman" w:cs="Times New Roman"/>
          <w:i/>
          <w:sz w:val="24"/>
          <w:szCs w:val="24"/>
        </w:rPr>
        <w:t>Dalam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Menghadapi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Persaingan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(1), 21–30.</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Chandra, T. (2006).</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Pendekatan-pendekatan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Eksekutif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167–175.</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F.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R a t r 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(2).</w:t>
      </w:r>
      <w:proofErr w:type="gramEnd"/>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Farmasi</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Etika</w:t>
      </w:r>
      <w:proofErr w:type="spellEnd"/>
      <w:r>
        <w:rPr>
          <w:rFonts w:ascii="Times New Roman" w:eastAsia="Times New Roman" w:hAnsi="Times New Roman" w:cs="Times New Roman"/>
          <w:sz w:val="24"/>
          <w:szCs w:val="24"/>
        </w:rPr>
        <w:t>, D. A. N.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i/>
          <w:sz w:val="24"/>
          <w:szCs w:val="24"/>
        </w:rPr>
        <w:t>Industri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farmasi</w:t>
      </w:r>
      <w:proofErr w:type="spellEnd"/>
      <w:r>
        <w:rPr>
          <w:rFonts w:ascii="Times New Roman" w:eastAsia="Times New Roman" w:hAnsi="Times New Roman" w:cs="Times New Roman"/>
          <w:i/>
          <w:sz w:val="24"/>
          <w:szCs w:val="24"/>
        </w:rPr>
        <w:t xml:space="preserve">, profit, </w:t>
      </w:r>
      <w:proofErr w:type="spellStart"/>
      <w:r>
        <w:rPr>
          <w:rFonts w:ascii="Times New Roman" w:eastAsia="Times New Roman" w:hAnsi="Times New Roman" w:cs="Times New Roman"/>
          <w:i/>
          <w:sz w:val="24"/>
          <w:szCs w:val="24"/>
        </w:rPr>
        <w:t>dan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etika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231–242.</w:t>
      </w:r>
      <w:proofErr w:type="gramEnd"/>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Harjito</w:t>
      </w:r>
      <w:proofErr w:type="spellEnd"/>
      <w:r>
        <w:rPr>
          <w:rFonts w:ascii="Times New Roman" w:eastAsia="Times New Roman" w:hAnsi="Times New Roman" w:cs="Times New Roman"/>
          <w:sz w:val="24"/>
          <w:szCs w:val="24"/>
        </w:rPr>
        <w:t>, D. A. (2011).</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Pecking Order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Trade-Off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di Bursa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Indonesia.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Siasat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(2), 187–196. https://doi.org/10.20885/jsb.vol15.iss2.art3</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Hermawan</w:t>
      </w:r>
      <w:proofErr w:type="spellEnd"/>
      <w:r>
        <w:rPr>
          <w:rFonts w:ascii="Times New Roman" w:eastAsia="Times New Roman" w:hAnsi="Times New Roman" w:cs="Times New Roman"/>
          <w:sz w:val="24"/>
          <w:szCs w:val="24"/>
        </w:rPr>
        <w:t xml:space="preserve">, M. S., </w:t>
      </w:r>
      <w:proofErr w:type="spellStart"/>
      <w:r>
        <w:rPr>
          <w:rFonts w:ascii="Times New Roman" w:eastAsia="Times New Roman" w:hAnsi="Times New Roman" w:cs="Times New Roman"/>
          <w:sz w:val="24"/>
          <w:szCs w:val="24"/>
        </w:rPr>
        <w:t>Junios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Tirok</w:t>
      </w:r>
      <w:proofErr w:type="spellEnd"/>
      <w:r>
        <w:rPr>
          <w:rFonts w:ascii="Times New Roman" w:eastAsia="Times New Roman" w:hAnsi="Times New Roman" w:cs="Times New Roman"/>
          <w:sz w:val="24"/>
          <w:szCs w:val="24"/>
        </w:rPr>
        <w:t xml:space="preserve">, and Dharma S. </w:t>
      </w:r>
      <w:proofErr w:type="spellStart"/>
      <w:r>
        <w:rPr>
          <w:rFonts w:ascii="Times New Roman" w:eastAsia="Times New Roman" w:hAnsi="Times New Roman" w:cs="Times New Roman"/>
          <w:sz w:val="24"/>
          <w:szCs w:val="24"/>
        </w:rPr>
        <w:t>Dawis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(2011). </w:t>
      </w:r>
      <w:r>
        <w:rPr>
          <w:rFonts w:ascii="Times New Roman" w:eastAsia="Times New Roman" w:hAnsi="Times New Roman" w:cs="Times New Roman"/>
          <w:i/>
          <w:sz w:val="24"/>
          <w:szCs w:val="24"/>
        </w:rPr>
        <w:t xml:space="preserve">The Degree of Company Vulnerability Using Altman Model: A Survey of Public Listed Companies in Indonesia. </w:t>
      </w:r>
      <w:r>
        <w:rPr>
          <w:rFonts w:ascii="Times New Roman" w:eastAsia="Times New Roman" w:hAnsi="Times New Roman" w:cs="Times New Roman"/>
          <w:sz w:val="24"/>
          <w:szCs w:val="24"/>
        </w:rPr>
        <w:t>Journal of Applied Finance and Accounting 2(2): 88- 99 &lt;</w:t>
      </w:r>
      <w:hyperlink r:id="rId9">
        <w:r>
          <w:rPr>
            <w:rFonts w:ascii="Times New Roman" w:eastAsia="Times New Roman" w:hAnsi="Times New Roman" w:cs="Times New Roman"/>
            <w:color w:val="0000FF"/>
            <w:sz w:val="24"/>
            <w:szCs w:val="24"/>
            <w:u w:val="single"/>
          </w:rPr>
          <w:t>http://bbs.binus.edu/journal/RndData/Journal/Data/20110923100700.pdf</w:t>
        </w:r>
      </w:hyperlink>
      <w:r>
        <w:rPr>
          <w:rFonts w:ascii="Times New Roman" w:eastAsia="Times New Roman" w:hAnsi="Times New Roman" w:cs="Times New Roman"/>
          <w:sz w:val="24"/>
          <w:szCs w:val="24"/>
        </w:rPr>
        <w:t>&gt;</w:t>
      </w:r>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Ida </w:t>
      </w:r>
      <w:proofErr w:type="spellStart"/>
      <w:r>
        <w:rPr>
          <w:rFonts w:ascii="Times New Roman" w:eastAsia="Times New Roman" w:hAnsi="Times New Roman" w:cs="Times New Roman"/>
          <w:color w:val="000000"/>
          <w:sz w:val="24"/>
          <w:szCs w:val="24"/>
        </w:rPr>
        <w:t>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Anggawulan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Saraswathi</w:t>
      </w:r>
      <w:proofErr w:type="spellEnd"/>
      <w:r>
        <w:rPr>
          <w:rFonts w:ascii="Times New Roman" w:eastAsia="Times New Roman" w:hAnsi="Times New Roman" w:cs="Times New Roman"/>
          <w:color w:val="000000"/>
          <w:sz w:val="24"/>
          <w:szCs w:val="24"/>
        </w:rPr>
        <w:t xml:space="preserve">, I. G. (2016).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Risiko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Pertumbuhan</w:t>
      </w:r>
      <w:proofErr w:type="spellEnd"/>
      <w:r>
        <w:rPr>
          <w:rFonts w:ascii="Times New Roman" w:eastAsia="Times New Roman" w:hAnsi="Times New Roman" w:cs="Times New Roman"/>
          <w:color w:val="000000"/>
          <w:sz w:val="24"/>
          <w:szCs w:val="24"/>
        </w:rPr>
        <w:t xml:space="preserve"> Perusahaan Dan </w:t>
      </w:r>
      <w:proofErr w:type="spellStart"/>
      <w:r>
        <w:rPr>
          <w:rFonts w:ascii="Times New Roman" w:eastAsia="Times New Roman" w:hAnsi="Times New Roman" w:cs="Times New Roman"/>
          <w:color w:val="000000"/>
          <w:sz w:val="24"/>
          <w:szCs w:val="24"/>
        </w:rPr>
        <w:t>Struktur</w:t>
      </w:r>
      <w:proofErr w:type="spellEnd"/>
      <w:r>
        <w:rPr>
          <w:rFonts w:ascii="Times New Roman" w:eastAsia="Times New Roman" w:hAnsi="Times New Roman" w:cs="Times New Roman"/>
          <w:color w:val="000000"/>
          <w:sz w:val="24"/>
          <w:szCs w:val="24"/>
        </w:rPr>
        <w:t xml:space="preserve"> Modal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Profitabilitas</w:t>
      </w:r>
      <w:proofErr w:type="spellEnd"/>
      <w:r>
        <w:rPr>
          <w:rFonts w:ascii="Times New Roman" w:eastAsia="Times New Roman" w:hAnsi="Times New Roman" w:cs="Times New Roman"/>
          <w:color w:val="000000"/>
          <w:sz w:val="24"/>
          <w:szCs w:val="24"/>
        </w:rPr>
        <w:t xml:space="preserve"> Serta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Perusahaan </w:t>
      </w:r>
      <w:proofErr w:type="spellStart"/>
      <w:r>
        <w:rPr>
          <w:rFonts w:ascii="Times New Roman" w:eastAsia="Times New Roman" w:hAnsi="Times New Roman" w:cs="Times New Roman"/>
          <w:color w:val="000000"/>
          <w:sz w:val="24"/>
          <w:szCs w:val="24"/>
        </w:rPr>
        <w:t>Manufaktur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i/>
          <w:color w:val="000000"/>
          <w:sz w:val="24"/>
          <w:szCs w:val="24"/>
        </w:rPr>
        <w:t>E-</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Ekonomi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Bisnis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Universitas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Udayana</w:t>
      </w:r>
      <w:proofErr w:type="spellEnd"/>
      <w:r>
        <w:rPr>
          <w:rFonts w:ascii="Times New Roman" w:eastAsia="Times New Roman" w:hAnsi="Times New Roman" w:cs="Times New Roman"/>
          <w:i/>
          <w:color w:val="000000"/>
          <w:sz w:val="24"/>
          <w:szCs w:val="24"/>
        </w:rPr>
        <w:t xml:space="preserve"> 5.6</w:t>
      </w:r>
      <w:r>
        <w:rPr>
          <w:rFonts w:ascii="Times New Roman" w:eastAsia="Times New Roman" w:hAnsi="Times New Roman" w:cs="Times New Roman"/>
          <w:color w:val="000000"/>
          <w:sz w:val="24"/>
          <w:szCs w:val="24"/>
        </w:rPr>
        <w:t>, 1729-1756.</w:t>
      </w:r>
      <w:proofErr w:type="gramEnd"/>
    </w:p>
    <w:p w:rsidR="00642728" w:rsidRDefault="00A30734" w:rsidP="00B030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Indonesia, B. E. (2018). </w:t>
      </w:r>
      <w:proofErr w:type="gramStart"/>
      <w:r>
        <w:rPr>
          <w:rFonts w:ascii="Times New Roman" w:eastAsia="Times New Roman" w:hAnsi="Times New Roman" w:cs="Times New Roman"/>
          <w:i/>
          <w:sz w:val="24"/>
          <w:szCs w:val="24"/>
        </w:rPr>
        <w:t xml:space="preserve">Investor Summit 2018 Bursa </w:t>
      </w:r>
      <w:proofErr w:type="spellStart"/>
      <w:r>
        <w:rPr>
          <w:rFonts w:ascii="Times New Roman" w:eastAsia="Times New Roman" w:hAnsi="Times New Roman" w:cs="Times New Roman"/>
          <w:i/>
          <w:sz w:val="24"/>
          <w:szCs w:val="24"/>
        </w:rPr>
        <w:t>Efek</w:t>
      </w:r>
      <w:proofErr w:type="spellEnd"/>
      <w:r>
        <w:rPr>
          <w:rFonts w:ascii="Times New Roman" w:eastAsia="Times New Roman" w:hAnsi="Times New Roman" w:cs="Times New Roman"/>
          <w:i/>
          <w:sz w:val="24"/>
          <w:szCs w:val="24"/>
        </w:rPr>
        <w:t xml:space="preserve"> Indonesia </w:t>
      </w:r>
      <w:proofErr w:type="spellStart"/>
      <w:r>
        <w:rPr>
          <w:rFonts w:ascii="Times New Roman" w:eastAsia="Times New Roman" w:hAnsi="Times New Roman" w:cs="Times New Roman"/>
          <w:i/>
          <w:sz w:val="24"/>
          <w:szCs w:val="24"/>
        </w:rPr>
        <w:t>Catatan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Penting</w:t>
      </w:r>
      <w:proofErr w:type="spellEnd"/>
      <w:r>
        <w:rPr>
          <w:rFonts w:ascii="Times New Roman" w:eastAsia="Times New Roman" w:hAnsi="Times New Roman" w:cs="Times New Roman"/>
          <w:sz w:val="24"/>
          <w:szCs w:val="24"/>
        </w:rPr>
        <w:t>.</w:t>
      </w:r>
      <w:proofErr w:type="gramEnd"/>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Indonesia, U., </w:t>
      </w:r>
      <w:proofErr w:type="spellStart"/>
      <w:r>
        <w:rPr>
          <w:rFonts w:ascii="Times New Roman" w:eastAsia="Times New Roman" w:hAnsi="Times New Roman" w:cs="Times New Roman"/>
          <w:sz w:val="24"/>
          <w:szCs w:val="24"/>
        </w:rPr>
        <w:t>Naibaho</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M. (2012).</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Analisis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Struktur</w:t>
      </w:r>
      <w:proofErr w:type="spellEnd"/>
      <w:r>
        <w:rPr>
          <w:rFonts w:ascii="Times New Roman" w:eastAsia="Times New Roman" w:hAnsi="Times New Roman" w:cs="Times New Roman"/>
          <w:i/>
          <w:sz w:val="24"/>
          <w:szCs w:val="24"/>
        </w:rPr>
        <w:t xml:space="preserve"> Modal Optimal Jakarta </w:t>
      </w:r>
      <w:proofErr w:type="spellStart"/>
      <w:r>
        <w:rPr>
          <w:rFonts w:ascii="Times New Roman" w:eastAsia="Times New Roman" w:hAnsi="Times New Roman" w:cs="Times New Roman"/>
          <w:i/>
          <w:sz w:val="24"/>
          <w:szCs w:val="24"/>
        </w:rPr>
        <w:t>Analisis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Struktur</w:t>
      </w:r>
      <w:proofErr w:type="spellEnd"/>
      <w:r>
        <w:rPr>
          <w:rFonts w:ascii="Times New Roman" w:eastAsia="Times New Roman" w:hAnsi="Times New Roman" w:cs="Times New Roman"/>
          <w:i/>
          <w:sz w:val="24"/>
          <w:szCs w:val="24"/>
        </w:rPr>
        <w:t xml:space="preserve"> Modal Optimal </w:t>
      </w:r>
      <w:proofErr w:type="spellStart"/>
      <w:proofErr w:type="gramStart"/>
      <w:r>
        <w:rPr>
          <w:rFonts w:ascii="Times New Roman" w:eastAsia="Times New Roman" w:hAnsi="Times New Roman" w:cs="Times New Roman"/>
          <w:i/>
          <w:sz w:val="24"/>
          <w:szCs w:val="24"/>
        </w:rPr>
        <w:t>Pt</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X</w:t>
      </w:r>
      <w:r>
        <w:rPr>
          <w:rFonts w:ascii="Times New Roman" w:eastAsia="Times New Roman" w:hAnsi="Times New Roman" w:cs="Times New Roman"/>
          <w:sz w:val="24"/>
          <w:szCs w:val="24"/>
        </w:rPr>
        <w:t>.</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Jayanti</w:t>
      </w:r>
      <w:proofErr w:type="spellEnd"/>
      <w:r>
        <w:rPr>
          <w:rFonts w:ascii="Times New Roman" w:eastAsia="Times New Roman" w:hAnsi="Times New Roman" w:cs="Times New Roman"/>
          <w:sz w:val="24"/>
          <w:szCs w:val="24"/>
        </w:rPr>
        <w:t xml:space="preserve">, Q., &amp; </w:t>
      </w:r>
      <w:proofErr w:type="spellStart"/>
      <w:r>
        <w:rPr>
          <w:rFonts w:ascii="Times New Roman" w:eastAsia="Times New Roman" w:hAnsi="Times New Roman" w:cs="Times New Roman"/>
          <w:sz w:val="24"/>
          <w:szCs w:val="24"/>
        </w:rPr>
        <w:t>Rustiana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Tingkat </w:t>
      </w:r>
      <w:proofErr w:type="spellStart"/>
      <w:r>
        <w:rPr>
          <w:rFonts w:ascii="Times New Roman" w:eastAsia="Times New Roman" w:hAnsi="Times New Roman" w:cs="Times New Roman"/>
          <w:sz w:val="24"/>
          <w:szCs w:val="24"/>
        </w:rPr>
        <w:t>Akurasi</w:t>
      </w:r>
      <w:proofErr w:type="spellEnd"/>
      <w:r>
        <w:rPr>
          <w:rFonts w:ascii="Times New Roman" w:eastAsia="Times New Roman" w:hAnsi="Times New Roman" w:cs="Times New Roman"/>
          <w:sz w:val="24"/>
          <w:szCs w:val="24"/>
        </w:rPr>
        <w:t xml:space="preserve"> Model-Model </w:t>
      </w:r>
      <w:proofErr w:type="spellStart"/>
      <w:r>
        <w:rPr>
          <w:rFonts w:ascii="Times New Roman" w:eastAsia="Times New Roman" w:hAnsi="Times New Roman" w:cs="Times New Roman"/>
          <w:sz w:val="24"/>
          <w:szCs w:val="24"/>
        </w:rPr>
        <w:t>Prediksi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Kebangkrutan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Memprediksi</w:t>
      </w:r>
      <w:proofErr w:type="spellEnd"/>
      <w:r>
        <w:rPr>
          <w:rFonts w:ascii="Times New Roman" w:eastAsia="Times New Roman" w:hAnsi="Times New Roman" w:cs="Times New Roman"/>
          <w:sz w:val="24"/>
          <w:szCs w:val="24"/>
        </w:rPr>
        <w:t xml:space="preserve"> Voluntary Auditor Switching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Manufaktur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Bei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Universitas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Atma</w:t>
      </w:r>
      <w:proofErr w:type="spellEnd"/>
      <w:r>
        <w:rPr>
          <w:rFonts w:ascii="Times New Roman" w:eastAsia="Times New Roman" w:hAnsi="Times New Roman" w:cs="Times New Roman"/>
          <w:i/>
          <w:sz w:val="24"/>
          <w:szCs w:val="24"/>
        </w:rPr>
        <w:t xml:space="preserve"> Jaya Yogyakarta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(2), 87–108.</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Kanita</w:t>
      </w:r>
      <w:proofErr w:type="spellEnd"/>
      <w:r>
        <w:rPr>
          <w:rFonts w:ascii="Times New Roman" w:eastAsia="Times New Roman" w:hAnsi="Times New Roman" w:cs="Times New Roman"/>
          <w:sz w:val="24"/>
          <w:szCs w:val="24"/>
        </w:rPr>
        <w:t xml:space="preserve">, N. R., &amp; </w:t>
      </w:r>
      <w:proofErr w:type="spellStart"/>
      <w:r>
        <w:rPr>
          <w:rFonts w:ascii="Times New Roman" w:eastAsia="Times New Roman" w:hAnsi="Times New Roman" w:cs="Times New Roman"/>
          <w:sz w:val="24"/>
          <w:szCs w:val="24"/>
        </w:rPr>
        <w:t>Hendryadi</w:t>
      </w:r>
      <w:proofErr w:type="spellEnd"/>
      <w:r>
        <w:rPr>
          <w:rFonts w:ascii="Times New Roman" w:eastAsia="Times New Roman" w:hAnsi="Times New Roman" w:cs="Times New Roman"/>
          <w:sz w:val="24"/>
          <w:szCs w:val="24"/>
        </w:rPr>
        <w:t>, H. (2017).</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Periode</w:t>
      </w:r>
      <w:proofErr w:type="spellEnd"/>
      <w:r>
        <w:rPr>
          <w:rFonts w:ascii="Times New Roman" w:eastAsia="Times New Roman" w:hAnsi="Times New Roman" w:cs="Times New Roman"/>
          <w:sz w:val="24"/>
          <w:szCs w:val="24"/>
        </w:rPr>
        <w:t xml:space="preserve"> 2012 - 2016.</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Riset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i/>
          <w:sz w:val="24"/>
          <w:szCs w:val="24"/>
        </w:rPr>
        <w:t xml:space="preserve"> (JRMB) </w:t>
      </w:r>
      <w:proofErr w:type="spellStart"/>
      <w:r>
        <w:rPr>
          <w:rFonts w:ascii="Times New Roman" w:eastAsia="Times New Roman" w:hAnsi="Times New Roman" w:cs="Times New Roman"/>
          <w:i/>
          <w:sz w:val="24"/>
          <w:szCs w:val="24"/>
        </w:rPr>
        <w:t>Fakultas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Ekonomi</w:t>
      </w:r>
      <w:proofErr w:type="spellEnd"/>
      <w:r>
        <w:rPr>
          <w:rFonts w:ascii="Times New Roman" w:eastAsia="Times New Roman" w:hAnsi="Times New Roman" w:cs="Times New Roman"/>
          <w:i/>
          <w:sz w:val="24"/>
          <w:szCs w:val="24"/>
        </w:rPr>
        <w:t xml:space="preserve"> UNIAT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(February), 241–250. https://doi.org/10.36226/jrmb.v2is1.57</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Kementerian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Indonesia.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(2017). </w:t>
      </w:r>
      <w:proofErr w:type="spellStart"/>
      <w:r>
        <w:rPr>
          <w:rFonts w:ascii="Times New Roman" w:eastAsia="Times New Roman" w:hAnsi="Times New Roman" w:cs="Times New Roman"/>
          <w:sz w:val="24"/>
          <w:szCs w:val="24"/>
        </w:rPr>
        <w:t>Profil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Kementerian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Indonesia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i/>
          <w:sz w:val="24"/>
          <w:szCs w:val="24"/>
        </w:rPr>
        <w:t>Kementerian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Kesehatan</w:t>
      </w:r>
      <w:proofErr w:type="spellEnd"/>
      <w:r>
        <w:rPr>
          <w:rFonts w:ascii="Times New Roman" w:eastAsia="Times New Roman" w:hAnsi="Times New Roman" w:cs="Times New Roman"/>
          <w:i/>
          <w:sz w:val="24"/>
          <w:szCs w:val="24"/>
        </w:rPr>
        <w:t xml:space="preserve"> RI</w:t>
      </w:r>
      <w:r>
        <w:rPr>
          <w:rFonts w:ascii="Times New Roman" w:eastAsia="Times New Roman" w:hAnsi="Times New Roman" w:cs="Times New Roman"/>
          <w:sz w:val="24"/>
          <w:szCs w:val="24"/>
        </w:rPr>
        <w:t xml:space="preserve"> (Vol. 53, Issue 9).</w:t>
      </w:r>
      <w:proofErr w:type="gramEnd"/>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Khanal</w:t>
      </w:r>
      <w:proofErr w:type="spellEnd"/>
      <w:r>
        <w:rPr>
          <w:rFonts w:ascii="Times New Roman" w:eastAsia="Times New Roman" w:hAnsi="Times New Roman" w:cs="Times New Roman"/>
          <w:sz w:val="24"/>
          <w:szCs w:val="24"/>
        </w:rPr>
        <w:t>, B. P., &amp; Shimizu, T. (2019).</w:t>
      </w:r>
      <w:proofErr w:type="gramEnd"/>
      <w:r>
        <w:rPr>
          <w:rFonts w:ascii="Times New Roman" w:eastAsia="Times New Roman" w:hAnsi="Times New Roman" w:cs="Times New Roman"/>
          <w:sz w:val="24"/>
          <w:szCs w:val="24"/>
        </w:rPr>
        <w:t xml:space="preserve"> Strategies for Development of Yoga, Ayurveda, and Meditation-based Health Tourism in Nepal: Using SWOT Analysis. </w:t>
      </w:r>
      <w:r>
        <w:rPr>
          <w:rFonts w:ascii="Times New Roman" w:eastAsia="Times New Roman" w:hAnsi="Times New Roman" w:cs="Times New Roman"/>
          <w:i/>
          <w:sz w:val="24"/>
          <w:szCs w:val="24"/>
        </w:rPr>
        <w:t>Journal of Tourism &amp; Adventure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(1), 85–107. https://doi.org/10.3126/jota.v2i1.25934</w:t>
      </w:r>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Korteweg</w:t>
      </w:r>
      <w:proofErr w:type="spellEnd"/>
      <w:r>
        <w:rPr>
          <w:rFonts w:ascii="Times New Roman" w:eastAsia="Times New Roman" w:hAnsi="Times New Roman" w:cs="Times New Roman"/>
          <w:color w:val="000000"/>
          <w:sz w:val="24"/>
          <w:szCs w:val="24"/>
        </w:rPr>
        <w:t xml:space="preserve"> A. (2007). </w:t>
      </w:r>
      <w:r>
        <w:rPr>
          <w:rFonts w:ascii="Times New Roman" w:eastAsia="Times New Roman" w:hAnsi="Times New Roman" w:cs="Times New Roman"/>
          <w:i/>
          <w:color w:val="000000"/>
          <w:sz w:val="24"/>
          <w:szCs w:val="24"/>
        </w:rPr>
        <w:t xml:space="preserve">The Cost of Financial Distress </w:t>
      </w:r>
      <w:proofErr w:type="gramStart"/>
      <w:r>
        <w:rPr>
          <w:rFonts w:ascii="Times New Roman" w:eastAsia="Times New Roman" w:hAnsi="Times New Roman" w:cs="Times New Roman"/>
          <w:i/>
          <w:color w:val="000000"/>
          <w:sz w:val="24"/>
          <w:szCs w:val="24"/>
        </w:rPr>
        <w:t>Across</w:t>
      </w:r>
      <w:proofErr w:type="gramEnd"/>
      <w:r>
        <w:rPr>
          <w:rFonts w:ascii="Times New Roman" w:eastAsia="Times New Roman" w:hAnsi="Times New Roman" w:cs="Times New Roman"/>
          <w:i/>
          <w:color w:val="000000"/>
          <w:sz w:val="24"/>
          <w:szCs w:val="24"/>
        </w:rPr>
        <w:t xml:space="preserve"> Industry</w:t>
      </w:r>
      <w:r>
        <w:rPr>
          <w:rFonts w:ascii="Times New Roman" w:eastAsia="Times New Roman" w:hAnsi="Times New Roman" w:cs="Times New Roman"/>
          <w:color w:val="000000"/>
          <w:sz w:val="24"/>
          <w:szCs w:val="24"/>
        </w:rPr>
        <w:t>. Graduate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School of Business, Stanford University, 1-59.</w:t>
      </w:r>
    </w:p>
    <w:p w:rsidR="00642728" w:rsidRDefault="00A30734" w:rsidP="00B03097">
      <w:pPr>
        <w:spacing w:line="240" w:lineRule="auto"/>
        <w:ind w:left="450" w:right="989"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Craig M. (2008). </w:t>
      </w:r>
      <w:r>
        <w:rPr>
          <w:rFonts w:ascii="Times New Roman" w:eastAsia="Times New Roman" w:hAnsi="Times New Roman" w:cs="Times New Roman"/>
          <w:i/>
          <w:sz w:val="24"/>
          <w:szCs w:val="24"/>
        </w:rPr>
        <w:t>Expected Bankruptcy Cost</w:t>
      </w:r>
      <w:r>
        <w:rPr>
          <w:rFonts w:ascii="Times New Roman" w:eastAsia="Times New Roman" w:hAnsi="Times New Roman" w:cs="Times New Roman"/>
          <w:sz w:val="24"/>
          <w:szCs w:val="24"/>
        </w:rPr>
        <w:t>. Owen Graduate School of Management Vanderbilt University, 1-42.</w:t>
      </w:r>
    </w:p>
    <w:p w:rsidR="00642728" w:rsidRDefault="00A30734" w:rsidP="00B03097">
      <w:pPr>
        <w:spacing w:line="240" w:lineRule="auto"/>
        <w:ind w:left="450" w:right="989" w:hanging="45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Listyani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Fanda</w:t>
      </w:r>
      <w:proofErr w:type="spellEnd"/>
      <w:r>
        <w:rPr>
          <w:rFonts w:ascii="Times New Roman" w:eastAsia="Times New Roman" w:hAnsi="Times New Roman" w:cs="Times New Roman"/>
          <w:sz w:val="24"/>
          <w:szCs w:val="24"/>
        </w:rPr>
        <w:t xml:space="preserve">, R. B., &amp; </w:t>
      </w:r>
      <w:proofErr w:type="spellStart"/>
      <w:r>
        <w:rPr>
          <w:rFonts w:ascii="Times New Roman" w:eastAsia="Times New Roman" w:hAnsi="Times New Roman" w:cs="Times New Roman"/>
          <w:sz w:val="24"/>
          <w:szCs w:val="24"/>
        </w:rPr>
        <w:t>Trisnantoro</w:t>
      </w:r>
      <w:proofErr w:type="spellEnd"/>
      <w:r>
        <w:rPr>
          <w:rFonts w:ascii="Times New Roman" w:eastAsia="Times New Roman" w:hAnsi="Times New Roman" w:cs="Times New Roman"/>
          <w:sz w:val="24"/>
          <w:szCs w:val="24"/>
        </w:rPr>
        <w:t>, L. (2019).</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Sakit</w:t>
      </w:r>
      <w:proofErr w:type="spellEnd"/>
      <w:r>
        <w:rPr>
          <w:rFonts w:ascii="Times New Roman" w:eastAsia="Times New Roman" w:hAnsi="Times New Roman" w:cs="Times New Roman"/>
          <w:sz w:val="24"/>
          <w:szCs w:val="24"/>
        </w:rPr>
        <w:t xml:space="preserve"> di Indonesia. </w:t>
      </w:r>
      <w:r>
        <w:rPr>
          <w:rFonts w:ascii="Times New Roman" w:eastAsia="Times New Roman" w:hAnsi="Times New Roman" w:cs="Times New Roman"/>
          <w:i/>
          <w:sz w:val="24"/>
          <w:szCs w:val="24"/>
        </w:rPr>
        <w:t>Https://Dask.Kebijakankesehatanindonesia.Net/</w:t>
      </w:r>
      <w:r>
        <w:rPr>
          <w:rFonts w:ascii="Times New Roman" w:eastAsia="Times New Roman" w:hAnsi="Times New Roman" w:cs="Times New Roman"/>
          <w:sz w:val="24"/>
          <w:szCs w:val="24"/>
        </w:rPr>
        <w:t>.</w:t>
      </w:r>
    </w:p>
    <w:p w:rsidR="00642728" w:rsidRDefault="00642728" w:rsidP="00B03097">
      <w:pPr>
        <w:spacing w:line="240" w:lineRule="auto"/>
        <w:jc w:val="both"/>
        <w:rPr>
          <w:rFonts w:ascii="Times New Roman" w:eastAsia="Times New Roman" w:hAnsi="Times New Roman" w:cs="Times New Roman"/>
          <w:b/>
          <w:sz w:val="24"/>
          <w:szCs w:val="24"/>
        </w:rPr>
      </w:pP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Mastuti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Saifi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Azizah</w:t>
      </w:r>
      <w:proofErr w:type="spellEnd"/>
      <w:r>
        <w:rPr>
          <w:rFonts w:ascii="Times New Roman" w:eastAsia="Times New Roman" w:hAnsi="Times New Roman" w:cs="Times New Roman"/>
          <w:sz w:val="24"/>
          <w:szCs w:val="24"/>
        </w:rPr>
        <w:t>, D. F. (2012).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Altman z-score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estimasi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kebangkrutan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Administrasi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i/>
          <w:sz w:val="24"/>
          <w:szCs w:val="24"/>
        </w:rPr>
        <w:t xml:space="preserve"> (JAB)</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 1–10. http://administrasibisnis.studentjournal.ub.ac.id/index.php/jab/article/viewFile/268/461</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Mulyono</w:t>
      </w:r>
      <w:proofErr w:type="spellEnd"/>
      <w:r>
        <w:rPr>
          <w:rFonts w:ascii="Times New Roman" w:eastAsia="Times New Roman" w:hAnsi="Times New Roman" w:cs="Times New Roman"/>
          <w:sz w:val="24"/>
          <w:szCs w:val="24"/>
        </w:rPr>
        <w:t xml:space="preserve">, J. J. (2017).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Optimal Capital Structure : an Empirical Study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(2), 93–106.</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Munjiyah</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Artati</w:t>
      </w:r>
      <w:proofErr w:type="spellEnd"/>
      <w:r>
        <w:rPr>
          <w:rFonts w:ascii="Times New Roman" w:eastAsia="Times New Roman" w:hAnsi="Times New Roman" w:cs="Times New Roman"/>
          <w:sz w:val="24"/>
          <w:szCs w:val="24"/>
        </w:rPr>
        <w:t>, D. (2020).</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Prediksi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Kebangkrutan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Model Altman, </w:t>
      </w:r>
      <w:proofErr w:type="spellStart"/>
      <w:r>
        <w:rPr>
          <w:rFonts w:ascii="Times New Roman" w:eastAsia="Times New Roman" w:hAnsi="Times New Roman" w:cs="Times New Roman"/>
          <w:sz w:val="24"/>
          <w:szCs w:val="24"/>
        </w:rPr>
        <w:t>Springate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Ohlson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Zmijewski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Perusahaan Food and Beverage di Bursa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Indonesia (BEI).</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Mahasiswa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Akuntansi</w:t>
      </w:r>
      <w:proofErr w:type="spellEnd"/>
      <w:r>
        <w:rPr>
          <w:rFonts w:ascii="Times New Roman" w:eastAsia="Times New Roman" w:hAnsi="Times New Roman" w:cs="Times New Roman"/>
          <w:i/>
          <w:sz w:val="24"/>
          <w:szCs w:val="24"/>
        </w:rPr>
        <w:t xml:space="preserve"> (JIMMBA)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(6), 901–909. https://doi.org/10.32639/jimmba.v2i6.685</w:t>
      </w:r>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Modigliani, F. M.H Miller (1958). </w:t>
      </w:r>
      <w:proofErr w:type="gramStart"/>
      <w:r>
        <w:rPr>
          <w:rFonts w:ascii="Times New Roman" w:eastAsia="Times New Roman" w:hAnsi="Times New Roman" w:cs="Times New Roman"/>
          <w:i/>
          <w:color w:val="000000"/>
          <w:sz w:val="24"/>
          <w:szCs w:val="24"/>
        </w:rPr>
        <w:t>The cost of capital, corporation finance and the theory of investment.</w:t>
      </w:r>
      <w:proofErr w:type="gram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The American Review</w:t>
      </w:r>
      <w:r>
        <w:rPr>
          <w:rFonts w:ascii="Times New Roman" w:eastAsia="Times New Roman" w:hAnsi="Times New Roman" w:cs="Times New Roman"/>
          <w:color w:val="000000"/>
          <w:sz w:val="24"/>
          <w:szCs w:val="24"/>
        </w:rPr>
        <w:t xml:space="preserve"> 47(3).</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261-297.</w:t>
      </w:r>
      <w:proofErr w:type="gramEnd"/>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Modigliani, F. M.H Miller (1963). </w:t>
      </w:r>
      <w:r>
        <w:rPr>
          <w:rFonts w:ascii="Times New Roman" w:eastAsia="Times New Roman" w:hAnsi="Times New Roman" w:cs="Times New Roman"/>
          <w:i/>
          <w:color w:val="000000"/>
          <w:sz w:val="24"/>
          <w:szCs w:val="24"/>
        </w:rPr>
        <w:t xml:space="preserve">Taxes </w:t>
      </w:r>
      <w:proofErr w:type="gramStart"/>
      <w:r>
        <w:rPr>
          <w:rFonts w:ascii="Times New Roman" w:eastAsia="Times New Roman" w:hAnsi="Times New Roman" w:cs="Times New Roman"/>
          <w:i/>
          <w:color w:val="000000"/>
          <w:sz w:val="24"/>
          <w:szCs w:val="24"/>
        </w:rPr>
        <w:t>And</w:t>
      </w:r>
      <w:proofErr w:type="gramEnd"/>
      <w:r>
        <w:rPr>
          <w:rFonts w:ascii="Times New Roman" w:eastAsia="Times New Roman" w:hAnsi="Times New Roman" w:cs="Times New Roman"/>
          <w:i/>
          <w:color w:val="000000"/>
          <w:sz w:val="24"/>
          <w:szCs w:val="24"/>
        </w:rPr>
        <w:t xml:space="preserve"> The Cost Of Capital. </w:t>
      </w:r>
      <w:proofErr w:type="gramStart"/>
      <w:r>
        <w:rPr>
          <w:rFonts w:ascii="Times New Roman" w:eastAsia="Times New Roman" w:hAnsi="Times New Roman" w:cs="Times New Roman"/>
          <w:i/>
          <w:color w:val="000000"/>
          <w:sz w:val="24"/>
          <w:szCs w:val="24"/>
        </w:rPr>
        <w:t>A Correction.</w:t>
      </w:r>
      <w:proofErr w:type="gram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The American Economic Review</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433-443.</w:t>
      </w:r>
      <w:proofErr w:type="gramEnd"/>
    </w:p>
    <w:p w:rsidR="00642728" w:rsidRDefault="00A30734" w:rsidP="00B0309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Muhamad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Sayuti</w:t>
      </w:r>
      <w:proofErr w:type="spellEnd"/>
      <w:r>
        <w:rPr>
          <w:rFonts w:ascii="Times New Roman" w:eastAsia="Times New Roman" w:hAnsi="Times New Roman" w:cs="Times New Roman"/>
          <w:sz w:val="24"/>
          <w:szCs w:val="24"/>
        </w:rPr>
        <w:t xml:space="preserve">, A. S. (2016). </w:t>
      </w:r>
      <w:proofErr w:type="spellStart"/>
      <w:proofErr w:type="gramStart"/>
      <w:r>
        <w:rPr>
          <w:rFonts w:ascii="Times New Roman" w:eastAsia="Times New Roman" w:hAnsi="Times New Roman" w:cs="Times New Roman"/>
          <w:sz w:val="24"/>
          <w:szCs w:val="24"/>
        </w:rPr>
        <w:t>Usulan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Pemasaran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Farmasi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Memperluas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Pemasaran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Vaksin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SWOT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AHP.</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Industry </w:t>
      </w:r>
      <w:proofErr w:type="spellStart"/>
      <w:r>
        <w:rPr>
          <w:rFonts w:ascii="Times New Roman" w:eastAsia="Times New Roman" w:hAnsi="Times New Roman" w:cs="Times New Roman"/>
          <w:i/>
          <w:sz w:val="24"/>
          <w:szCs w:val="24"/>
        </w:rPr>
        <w:t>Xplore</w:t>
      </w:r>
      <w:proofErr w:type="spellEnd"/>
      <w:r>
        <w:rPr>
          <w:rFonts w:ascii="Times New Roman" w:eastAsia="Times New Roman" w:hAnsi="Times New Roman" w:cs="Times New Roman"/>
          <w:i/>
          <w:sz w:val="24"/>
          <w:szCs w:val="24"/>
        </w:rPr>
        <w:t xml:space="preserve"> Vol. 1 No. 1</w:t>
      </w:r>
      <w:r>
        <w:rPr>
          <w:rFonts w:ascii="Times New Roman" w:eastAsia="Times New Roman" w:hAnsi="Times New Roman" w:cs="Times New Roman"/>
          <w:sz w:val="24"/>
          <w:szCs w:val="24"/>
        </w:rPr>
        <w:t>, 36-45.</w:t>
      </w:r>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 </w:t>
      </w:r>
      <w:proofErr w:type="spellStart"/>
      <w:r>
        <w:rPr>
          <w:rFonts w:ascii="Times New Roman" w:eastAsia="Times New Roman" w:hAnsi="Times New Roman" w:cs="Times New Roman"/>
          <w:color w:val="000000"/>
          <w:sz w:val="24"/>
          <w:szCs w:val="24"/>
        </w:rPr>
        <w:t>Luh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Wiagustini</w:t>
      </w:r>
      <w:proofErr w:type="spellEnd"/>
      <w:r>
        <w:rPr>
          <w:rFonts w:ascii="Times New Roman" w:eastAsia="Times New Roman" w:hAnsi="Times New Roman" w:cs="Times New Roman"/>
          <w:color w:val="000000"/>
          <w:sz w:val="24"/>
          <w:szCs w:val="24"/>
        </w:rPr>
        <w:t xml:space="preserve">, N. P. (2015). </w:t>
      </w:r>
      <w:proofErr w:type="spellStart"/>
      <w:proofErr w:type="gram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Risiko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Bisnis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Ukuran</w:t>
      </w:r>
      <w:proofErr w:type="spellEnd"/>
      <w:r>
        <w:rPr>
          <w:rFonts w:ascii="Times New Roman" w:eastAsia="Times New Roman" w:hAnsi="Times New Roman" w:cs="Times New Roman"/>
          <w:color w:val="000000"/>
          <w:sz w:val="24"/>
          <w:szCs w:val="24"/>
        </w:rPr>
        <w:t xml:space="preserve"> Perusahaan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Struktur</w:t>
      </w:r>
      <w:proofErr w:type="spellEnd"/>
      <w:r>
        <w:rPr>
          <w:rFonts w:ascii="Times New Roman" w:eastAsia="Times New Roman" w:hAnsi="Times New Roman" w:cs="Times New Roman"/>
          <w:color w:val="000000"/>
          <w:sz w:val="24"/>
          <w:szCs w:val="24"/>
        </w:rPr>
        <w:t xml:space="preserve"> Modal Dan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Perusahaan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Perusahaan </w:t>
      </w:r>
      <w:proofErr w:type="spellStart"/>
      <w:r>
        <w:rPr>
          <w:rFonts w:ascii="Times New Roman" w:eastAsia="Times New Roman" w:hAnsi="Times New Roman" w:cs="Times New Roman"/>
          <w:color w:val="000000"/>
          <w:sz w:val="24"/>
          <w:szCs w:val="24"/>
        </w:rPr>
        <w:t>Farmasi</w:t>
      </w:r>
      <w:proofErr w:type="spellEnd"/>
      <w:r>
        <w:rPr>
          <w:rFonts w:ascii="Times New Roman" w:eastAsia="Times New Roman" w:hAnsi="Times New Roman" w:cs="Times New Roman"/>
          <w:color w:val="000000"/>
          <w:sz w:val="24"/>
          <w:szCs w:val="24"/>
        </w:rPr>
        <w:t xml:space="preserve"> Di Bursa </w:t>
      </w:r>
      <w:proofErr w:type="spellStart"/>
      <w:r>
        <w:rPr>
          <w:rFonts w:ascii="Times New Roman" w:eastAsia="Times New Roman" w:hAnsi="Times New Roman" w:cs="Times New Roman"/>
          <w:color w:val="000000"/>
          <w:sz w:val="24"/>
          <w:szCs w:val="24"/>
        </w:rPr>
        <w:t>Efek</w:t>
      </w:r>
      <w:proofErr w:type="spellEnd"/>
      <w:r>
        <w:rPr>
          <w:rFonts w:ascii="Times New Roman" w:eastAsia="Times New Roman" w:hAnsi="Times New Roman" w:cs="Times New Roman"/>
          <w:color w:val="000000"/>
          <w:sz w:val="24"/>
          <w:szCs w:val="24"/>
        </w:rPr>
        <w:t xml:space="preserve"> Indonesia.</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Manajemen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Strategi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Bisnis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Kewirausahaan</w:t>
      </w:r>
      <w:proofErr w:type="spellEnd"/>
      <w:r>
        <w:rPr>
          <w:rFonts w:ascii="Times New Roman" w:eastAsia="Times New Roman" w:hAnsi="Times New Roman" w:cs="Times New Roman"/>
          <w:i/>
          <w:color w:val="000000"/>
          <w:sz w:val="24"/>
          <w:szCs w:val="24"/>
        </w:rPr>
        <w:t xml:space="preserve"> Vol. 9, 112 No. 2</w:t>
      </w:r>
      <w:r>
        <w:rPr>
          <w:rFonts w:ascii="Times New Roman" w:eastAsia="Times New Roman" w:hAnsi="Times New Roman" w:cs="Times New Roman"/>
          <w:color w:val="000000"/>
          <w:sz w:val="24"/>
          <w:szCs w:val="24"/>
        </w:rPr>
        <w:t>, 112-122.</w:t>
      </w:r>
    </w:p>
    <w:p w:rsidR="00642728" w:rsidRDefault="00A30734" w:rsidP="00B03097">
      <w:pPr>
        <w:widowControl w:val="0"/>
        <w:spacing w:after="0"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Noer</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Saribanon</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Nurwulandari</w:t>
      </w:r>
      <w:proofErr w:type="spellEnd"/>
      <w:r>
        <w:rPr>
          <w:rFonts w:ascii="Times New Roman" w:eastAsia="Times New Roman" w:hAnsi="Times New Roman" w:cs="Times New Roman"/>
          <w:sz w:val="24"/>
          <w:szCs w:val="24"/>
        </w:rPr>
        <w:t>, A.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Business Model Analysis of Natural Production Forest with Sustainable Forest Management Approach</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(1), 110–118.</w:t>
      </w:r>
    </w:p>
    <w:p w:rsidR="00642728" w:rsidRDefault="00642728" w:rsidP="00B03097">
      <w:pPr>
        <w:spacing w:after="0" w:line="240" w:lineRule="auto"/>
        <w:jc w:val="both"/>
        <w:rPr>
          <w:rFonts w:ascii="Times New Roman" w:eastAsia="Times New Roman" w:hAnsi="Times New Roman" w:cs="Times New Roman"/>
          <w:sz w:val="24"/>
          <w:szCs w:val="24"/>
        </w:rPr>
      </w:pPr>
    </w:p>
    <w:p w:rsidR="00642728" w:rsidRDefault="00A30734" w:rsidP="00B0309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Nofianti</w:t>
      </w:r>
      <w:proofErr w:type="spellEnd"/>
      <w:r>
        <w:rPr>
          <w:rFonts w:ascii="Times New Roman" w:eastAsia="Times New Roman" w:hAnsi="Times New Roman" w:cs="Times New Roman"/>
          <w:sz w:val="24"/>
          <w:szCs w:val="24"/>
        </w:rPr>
        <w:t xml:space="preserve">, N. (2014).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Ukuran</w:t>
      </w:r>
      <w:proofErr w:type="spellEnd"/>
      <w:r>
        <w:rPr>
          <w:rFonts w:ascii="Times New Roman" w:eastAsia="Times New Roman" w:hAnsi="Times New Roman" w:cs="Times New Roman"/>
          <w:sz w:val="24"/>
          <w:szCs w:val="24"/>
        </w:rPr>
        <w:t xml:space="preserve"> Perusahaan, Dan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Dividen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Koefisien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Etikonomi</w:t>
      </w:r>
      <w:proofErr w:type="spellEnd"/>
      <w:r>
        <w:rPr>
          <w:rFonts w:ascii="Times New Roman" w:eastAsia="Times New Roman" w:hAnsi="Times New Roman" w:cs="Times New Roman"/>
          <w:i/>
          <w:sz w:val="24"/>
          <w:szCs w:val="24"/>
        </w:rPr>
        <w:t>, 13</w:t>
      </w:r>
      <w:r>
        <w:rPr>
          <w:rFonts w:ascii="Times New Roman" w:eastAsia="Times New Roman" w:hAnsi="Times New Roman" w:cs="Times New Roman"/>
          <w:sz w:val="24"/>
          <w:szCs w:val="24"/>
        </w:rPr>
        <w:t>, 118-147.</w:t>
      </w:r>
    </w:p>
    <w:p w:rsidR="00642728" w:rsidRDefault="00A30734" w:rsidP="00B03097">
      <w:pPr>
        <w:widowControl w:val="0"/>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Nurwulandari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Adnyana</w:t>
      </w:r>
      <w:proofErr w:type="spellEnd"/>
      <w:r>
        <w:rPr>
          <w:rFonts w:ascii="Times New Roman" w:eastAsia="Times New Roman" w:hAnsi="Times New Roman" w:cs="Times New Roman"/>
          <w:sz w:val="24"/>
          <w:szCs w:val="24"/>
        </w:rPr>
        <w:t xml:space="preserve">, I. M., &amp; </w:t>
      </w:r>
      <w:proofErr w:type="spellStart"/>
      <w:r>
        <w:rPr>
          <w:rFonts w:ascii="Times New Roman" w:eastAsia="Times New Roman" w:hAnsi="Times New Roman" w:cs="Times New Roman"/>
          <w:sz w:val="24"/>
          <w:szCs w:val="24"/>
        </w:rPr>
        <w:t>Loviana</w:t>
      </w:r>
      <w:proofErr w:type="spellEnd"/>
      <w:r>
        <w:rPr>
          <w:rFonts w:ascii="Times New Roman" w:eastAsia="Times New Roman" w:hAnsi="Times New Roman" w:cs="Times New Roman"/>
          <w:sz w:val="24"/>
          <w:szCs w:val="24"/>
        </w:rPr>
        <w:t>, N.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 Effect of Ownership and Financial Performance on Firm Value of Oil and Gas Mining Companies in Indonesia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(5), 103–109.</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Omer, S. (2018).</w:t>
      </w:r>
      <w:proofErr w:type="gramEnd"/>
      <w:r>
        <w:rPr>
          <w:rFonts w:ascii="Times New Roman" w:eastAsia="Times New Roman" w:hAnsi="Times New Roman" w:cs="Times New Roman"/>
          <w:sz w:val="24"/>
          <w:szCs w:val="24"/>
        </w:rPr>
        <w:t xml:space="preserve"> SWOT analysis: The tool of organizations stability (KFC) as a case study. </w:t>
      </w:r>
      <w:proofErr w:type="gramStart"/>
      <w:r>
        <w:rPr>
          <w:rFonts w:ascii="Times New Roman" w:eastAsia="Times New Roman" w:hAnsi="Times New Roman" w:cs="Times New Roman"/>
          <w:i/>
          <w:sz w:val="24"/>
          <w:szCs w:val="24"/>
        </w:rPr>
        <w:t>Journal of Process Management.</w:t>
      </w:r>
      <w:proofErr w:type="gramEnd"/>
      <w:r>
        <w:rPr>
          <w:rFonts w:ascii="Times New Roman" w:eastAsia="Times New Roman" w:hAnsi="Times New Roman" w:cs="Times New Roman"/>
          <w:i/>
          <w:sz w:val="24"/>
          <w:szCs w:val="24"/>
        </w:rPr>
        <w:t xml:space="preserve"> New Technologies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(4), 27–34. https://doi.org/10.5937/jouproman6-19188</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Barang</w:t>
      </w:r>
      <w:proofErr w:type="spellEnd"/>
      <w:r>
        <w:rPr>
          <w:rFonts w:ascii="Times New Roman" w:eastAsia="Times New Roman" w:hAnsi="Times New Roman" w:cs="Times New Roman"/>
          <w:sz w:val="24"/>
          <w:szCs w:val="24"/>
        </w:rPr>
        <w:t xml:space="preserve">, I., Yang, K., &amp; </w:t>
      </w:r>
      <w:proofErr w:type="spellStart"/>
      <w:r>
        <w:rPr>
          <w:rFonts w:ascii="Times New Roman" w:eastAsia="Times New Roman" w:hAnsi="Times New Roman" w:cs="Times New Roman"/>
          <w:sz w:val="24"/>
          <w:szCs w:val="24"/>
        </w:rPr>
        <w:t>Oleh</w:t>
      </w:r>
      <w:proofErr w:type="spellEnd"/>
      <w:r>
        <w:rPr>
          <w:rFonts w:ascii="Times New Roman" w:eastAsia="Times New Roman" w:hAnsi="Times New Roman" w:cs="Times New Roman"/>
          <w:sz w:val="24"/>
          <w:szCs w:val="24"/>
        </w:rPr>
        <w:t>, D. (2016).</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i/>
          <w:sz w:val="24"/>
          <w:szCs w:val="24"/>
        </w:rPr>
        <w:t xml:space="preserve"> Media </w:t>
      </w:r>
      <w:proofErr w:type="spellStart"/>
      <w:r>
        <w:rPr>
          <w:rFonts w:ascii="Times New Roman" w:eastAsia="Times New Roman" w:hAnsi="Times New Roman" w:cs="Times New Roman"/>
          <w:i/>
          <w:sz w:val="24"/>
          <w:szCs w:val="24"/>
        </w:rPr>
        <w:t>Ekonomi</w:t>
      </w:r>
      <w:proofErr w:type="spellEnd"/>
      <w:r>
        <w:rPr>
          <w:rFonts w:ascii="Times New Roman" w:eastAsia="Times New Roman" w:hAnsi="Times New Roman" w:cs="Times New Roman"/>
          <w:i/>
          <w:sz w:val="24"/>
          <w:szCs w:val="24"/>
        </w:rPr>
        <w:t xml:space="preserve"> Volume XVI, NO.</w:t>
      </w:r>
      <w:proofErr w:type="gramEnd"/>
      <w:r>
        <w:rPr>
          <w:rFonts w:ascii="Times New Roman" w:eastAsia="Times New Roman" w:hAnsi="Times New Roman" w:cs="Times New Roman"/>
          <w:i/>
          <w:sz w:val="24"/>
          <w:szCs w:val="24"/>
        </w:rPr>
        <w:t xml:space="preserve"> 2 </w:t>
      </w:r>
      <w:proofErr w:type="spellStart"/>
      <w:r>
        <w:rPr>
          <w:rFonts w:ascii="Times New Roman" w:eastAsia="Times New Roman" w:hAnsi="Times New Roman" w:cs="Times New Roman"/>
          <w:i/>
          <w:sz w:val="24"/>
          <w:szCs w:val="24"/>
        </w:rPr>
        <w:t>Juli</w:t>
      </w:r>
      <w:proofErr w:type="spellEnd"/>
      <w:r>
        <w:rPr>
          <w:rFonts w:ascii="Times New Roman" w:eastAsia="Times New Roman" w:hAnsi="Times New Roman" w:cs="Times New Roman"/>
          <w:i/>
          <w:sz w:val="24"/>
          <w:szCs w:val="24"/>
        </w:rPr>
        <w:t xml:space="preserve"> 2016 </w:t>
      </w:r>
      <w:proofErr w:type="spellStart"/>
      <w:r>
        <w:rPr>
          <w:rFonts w:ascii="Times New Roman" w:eastAsia="Times New Roman" w:hAnsi="Times New Roman" w:cs="Times New Roman"/>
          <w:i/>
          <w:sz w:val="24"/>
          <w:szCs w:val="24"/>
        </w:rPr>
        <w:t>Analisis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Pengaruh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Iklan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Televisi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Ekuitas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Merek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Daya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Tarik</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XVI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 262–270.</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Periode</w:t>
      </w:r>
      <w:proofErr w:type="spellEnd"/>
      <w:r>
        <w:rPr>
          <w:rFonts w:ascii="Times New Roman" w:eastAsia="Times New Roman" w:hAnsi="Times New Roman" w:cs="Times New Roman"/>
          <w:sz w:val="24"/>
          <w:szCs w:val="24"/>
        </w:rPr>
        <w:t xml:space="preserve">, E. I. (2015). </w:t>
      </w:r>
      <w:r>
        <w:rPr>
          <w:rFonts w:ascii="Times New Roman" w:eastAsia="Times New Roman" w:hAnsi="Times New Roman" w:cs="Times New Roman"/>
          <w:i/>
          <w:sz w:val="24"/>
          <w:szCs w:val="24"/>
        </w:rPr>
        <w:t xml:space="preserve">J u r n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 d e v e l o p m e n 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2006</w:t>
      </w:r>
      <w:r>
        <w:rPr>
          <w:rFonts w:ascii="Times New Roman" w:eastAsia="Times New Roman" w:hAnsi="Times New Roman" w:cs="Times New Roman"/>
          <w:sz w:val="24"/>
          <w:szCs w:val="24"/>
        </w:rPr>
        <w:t>, 70–86.</w:t>
      </w:r>
    </w:p>
    <w:p w:rsidR="00642728" w:rsidRDefault="00A30734" w:rsidP="00B03097">
      <w:pPr>
        <w:spacing w:before="29" w:line="240" w:lineRule="auto"/>
        <w:ind w:left="466" w:right="-15" w:hanging="4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Pratt, Shannon P. (2000). </w:t>
      </w:r>
      <w:r>
        <w:rPr>
          <w:rFonts w:ascii="Times New Roman" w:eastAsia="Times New Roman" w:hAnsi="Times New Roman" w:cs="Times New Roman"/>
          <w:i/>
          <w:sz w:val="24"/>
          <w:szCs w:val="24"/>
        </w:rPr>
        <w:t xml:space="preserve">Cost of Capital </w:t>
      </w: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New Jersey: John Wiley &amp; Sons, Inc.</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Priyambodo</w:t>
      </w:r>
      <w:proofErr w:type="spellEnd"/>
      <w:r>
        <w:rPr>
          <w:rFonts w:ascii="Times New Roman" w:eastAsia="Times New Roman" w:hAnsi="Times New Roman" w:cs="Times New Roman"/>
          <w:sz w:val="24"/>
          <w:szCs w:val="24"/>
        </w:rPr>
        <w:t xml:space="preserve">, K. B., &amp; </w:t>
      </w:r>
      <w:proofErr w:type="spellStart"/>
      <w:r>
        <w:rPr>
          <w:rFonts w:ascii="Times New Roman" w:eastAsia="Times New Roman" w:hAnsi="Times New Roman" w:cs="Times New Roman"/>
          <w:sz w:val="24"/>
          <w:szCs w:val="24"/>
        </w:rPr>
        <w:t>Samanhudi</w:t>
      </w:r>
      <w:proofErr w:type="spellEnd"/>
      <w:r>
        <w:rPr>
          <w:rFonts w:ascii="Times New Roman" w:eastAsia="Times New Roman" w:hAnsi="Times New Roman" w:cs="Times New Roman"/>
          <w:sz w:val="24"/>
          <w:szCs w:val="24"/>
        </w:rPr>
        <w:t>, D. (2021).</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Pengembanan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Metode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Analsis</w:t>
      </w:r>
      <w:proofErr w:type="spellEnd"/>
      <w:r>
        <w:rPr>
          <w:rFonts w:ascii="Times New Roman" w:eastAsia="Times New Roman" w:hAnsi="Times New Roman" w:cs="Times New Roman"/>
          <w:i/>
          <w:sz w:val="24"/>
          <w:szCs w:val="24"/>
        </w:rPr>
        <w:t xml:space="preserve"> SWOT </w:t>
      </w:r>
      <w:proofErr w:type="gramStart"/>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w:t>
      </w:r>
      <w:proofErr w:type="spellEnd"/>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Kasus</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Rumah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Makan</w:t>
      </w:r>
      <w:proofErr w:type="spellEnd"/>
      <w:r>
        <w:rPr>
          <w:rFonts w:ascii="Times New Roman" w:eastAsia="Times New Roman" w:hAnsi="Times New Roman" w:cs="Times New Roman"/>
          <w:i/>
          <w:sz w:val="24"/>
          <w:szCs w:val="24"/>
        </w:rPr>
        <w:t xml:space="preserve"> Depot Ira Jaya  di </w:t>
      </w:r>
      <w:proofErr w:type="spellStart"/>
      <w:r>
        <w:rPr>
          <w:rFonts w:ascii="Times New Roman" w:eastAsia="Times New Roman" w:hAnsi="Times New Roman" w:cs="Times New Roman"/>
          <w:i/>
          <w:sz w:val="24"/>
          <w:szCs w:val="24"/>
        </w:rPr>
        <w:t>Sudoarjo</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02</w:t>
      </w:r>
      <w:r>
        <w:rPr>
          <w:rFonts w:ascii="Times New Roman" w:eastAsia="Times New Roman" w:hAnsi="Times New Roman" w:cs="Times New Roman"/>
          <w:sz w:val="24"/>
          <w:szCs w:val="24"/>
        </w:rPr>
        <w:t>(01), 108–119.</w:t>
      </w:r>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lastRenderedPageBreak/>
        <w:t>Sylviana</w:t>
      </w:r>
      <w:proofErr w:type="spellEnd"/>
      <w:r>
        <w:rPr>
          <w:rFonts w:ascii="Times New Roman" w:eastAsia="Times New Roman" w:hAnsi="Times New Roman" w:cs="Times New Roman"/>
          <w:color w:val="000000"/>
          <w:sz w:val="24"/>
          <w:szCs w:val="24"/>
        </w:rPr>
        <w:t xml:space="preserve"> Maya </w:t>
      </w:r>
      <w:proofErr w:type="spellStart"/>
      <w:r>
        <w:rPr>
          <w:rFonts w:ascii="Times New Roman" w:eastAsia="Times New Roman" w:hAnsi="Times New Roman" w:cs="Times New Roman"/>
          <w:color w:val="000000"/>
          <w:sz w:val="24"/>
          <w:szCs w:val="24"/>
        </w:rPr>
        <w:t>Damayanti</w:t>
      </w:r>
      <w:proofErr w:type="spellEnd"/>
      <w:r>
        <w:rPr>
          <w:rFonts w:ascii="Times New Roman" w:eastAsia="Times New Roman" w:hAnsi="Times New Roman" w:cs="Times New Roman"/>
          <w:color w:val="000000"/>
          <w:sz w:val="24"/>
          <w:szCs w:val="24"/>
        </w:rPr>
        <w:t xml:space="preserve">, C. J. (2017, </w:t>
      </w:r>
      <w:proofErr w:type="spellStart"/>
      <w:r>
        <w:rPr>
          <w:rFonts w:ascii="Times New Roman" w:eastAsia="Times New Roman" w:hAnsi="Times New Roman" w:cs="Times New Roman"/>
          <w:color w:val="000000"/>
          <w:sz w:val="24"/>
          <w:szCs w:val="24"/>
        </w:rPr>
        <w:t>Juli</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Desember</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The Optimal Capital Structure: An Empirical Study </w:t>
      </w:r>
      <w:proofErr w:type="gramStart"/>
      <w:r>
        <w:rPr>
          <w:rFonts w:ascii="Times New Roman" w:eastAsia="Times New Roman" w:hAnsi="Times New Roman" w:cs="Times New Roman"/>
          <w:i/>
          <w:color w:val="000000"/>
          <w:sz w:val="24"/>
          <w:szCs w:val="24"/>
        </w:rPr>
        <w:t>Of</w:t>
      </w:r>
      <w:proofErr w:type="gramEnd"/>
      <w:r>
        <w:rPr>
          <w:rFonts w:ascii="Times New Roman" w:eastAsia="Times New Roman" w:hAnsi="Times New Roman" w:cs="Times New Roman"/>
          <w:i/>
          <w:color w:val="000000"/>
          <w:sz w:val="24"/>
          <w:szCs w:val="24"/>
        </w:rPr>
        <w:t xml:space="preserve"> Indonesia Company In The Food And Beverage Industry</w:t>
      </w:r>
      <w:r>
        <w:rPr>
          <w:rFonts w:ascii="Times New Roman" w:eastAsia="Times New Roman" w:hAnsi="Times New Roman" w:cs="Times New Roman"/>
          <w:color w:val="000000"/>
          <w:sz w:val="24"/>
          <w:szCs w:val="24"/>
        </w:rPr>
        <w:t>. EKONOMI DAN BISNIS, Vol. 4 No. 2, 93 - 106.</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Puspitasari</w:t>
      </w:r>
      <w:proofErr w:type="spellEnd"/>
      <w:r>
        <w:rPr>
          <w:rFonts w:ascii="Times New Roman" w:eastAsia="Times New Roman" w:hAnsi="Times New Roman" w:cs="Times New Roman"/>
          <w:sz w:val="24"/>
          <w:szCs w:val="24"/>
        </w:rPr>
        <w:t>, D. P. (2015).</w:t>
      </w:r>
      <w:proofErr w:type="gramEnd"/>
      <w:r>
        <w:rPr>
          <w:rFonts w:ascii="Times New Roman" w:eastAsia="Times New Roman" w:hAnsi="Times New Roman" w:cs="Times New Roman"/>
          <w:sz w:val="24"/>
          <w:szCs w:val="24"/>
        </w:rPr>
        <w:t xml:space="preserve"> Optimizing the Capital Structure of </w:t>
      </w:r>
      <w:proofErr w:type="spellStart"/>
      <w:r>
        <w:rPr>
          <w:rFonts w:ascii="Times New Roman" w:eastAsia="Times New Roman" w:hAnsi="Times New Roman" w:cs="Times New Roman"/>
          <w:sz w:val="24"/>
          <w:szCs w:val="24"/>
        </w:rPr>
        <w:t>Pt</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Xl</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Axiata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Tbk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Academia.Edu</w:t>
      </w:r>
      <w:r>
        <w:rPr>
          <w:rFonts w:ascii="Times New Roman" w:eastAsia="Times New Roman" w:hAnsi="Times New Roman" w:cs="Times New Roman"/>
          <w:sz w:val="24"/>
          <w:szCs w:val="24"/>
        </w:rPr>
        <w:t>. http://www.academia.edu/download/48697368/Thesis_Dian_Putri_Puspitasari_29113499_YP50B.pdf</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Rahma</w:t>
      </w:r>
      <w:proofErr w:type="spellEnd"/>
      <w:r>
        <w:rPr>
          <w:rFonts w:ascii="Times New Roman" w:eastAsia="Times New Roman" w:hAnsi="Times New Roman" w:cs="Times New Roman"/>
          <w:sz w:val="24"/>
          <w:szCs w:val="24"/>
        </w:rPr>
        <w:t xml:space="preserve">, S. A. (2014). </w:t>
      </w:r>
      <w:proofErr w:type="spellStart"/>
      <w:r>
        <w:rPr>
          <w:rFonts w:ascii="Times New Roman" w:eastAsia="Times New Roman" w:hAnsi="Times New Roman" w:cs="Times New Roman"/>
          <w:i/>
          <w:sz w:val="24"/>
          <w:szCs w:val="24"/>
        </w:rPr>
        <w:t>Analisis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Penetapan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Struktur</w:t>
      </w:r>
      <w:proofErr w:type="spellEnd"/>
      <w:r>
        <w:rPr>
          <w:rFonts w:ascii="Times New Roman" w:eastAsia="Times New Roman" w:hAnsi="Times New Roman" w:cs="Times New Roman"/>
          <w:i/>
          <w:sz w:val="24"/>
          <w:szCs w:val="24"/>
        </w:rPr>
        <w:t xml:space="preserve"> Modal Yang Optimal </w:t>
      </w:r>
      <w:proofErr w:type="spellStart"/>
      <w:r>
        <w:rPr>
          <w:rFonts w:ascii="Times New Roman" w:eastAsia="Times New Roman" w:hAnsi="Times New Roman" w:cs="Times New Roman"/>
          <w:i/>
          <w:sz w:val="24"/>
          <w:szCs w:val="24"/>
        </w:rPr>
        <w:t>Guna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Meningkatkan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Nilai</w:t>
      </w:r>
      <w:proofErr w:type="spellEnd"/>
      <w:r>
        <w:rPr>
          <w:rFonts w:ascii="Times New Roman" w:eastAsia="Times New Roman" w:hAnsi="Times New Roman" w:cs="Times New Roman"/>
          <w:i/>
          <w:sz w:val="24"/>
          <w:szCs w:val="24"/>
        </w:rPr>
        <w:t xml:space="preserve"> Perusahaan </w:t>
      </w:r>
      <w:proofErr w:type="gramStart"/>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w:t>
      </w:r>
      <w:proofErr w:type="spellEnd"/>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Pada</w:t>
      </w:r>
      <w:proofErr w:type="spellEnd"/>
      <w:r>
        <w:rPr>
          <w:rFonts w:ascii="Times New Roman" w:eastAsia="Times New Roman" w:hAnsi="Times New Roman" w:cs="Times New Roman"/>
          <w:i/>
          <w:sz w:val="24"/>
          <w:szCs w:val="24"/>
        </w:rPr>
        <w:t xml:space="preserve"> PT . </w:t>
      </w:r>
      <w:proofErr w:type="spellStart"/>
      <w:r>
        <w:rPr>
          <w:rFonts w:ascii="Times New Roman" w:eastAsia="Times New Roman" w:hAnsi="Times New Roman" w:cs="Times New Roman"/>
          <w:i/>
          <w:sz w:val="24"/>
          <w:szCs w:val="24"/>
        </w:rPr>
        <w:t>Seemount</w:t>
      </w:r>
      <w:proofErr w:type="spellEnd"/>
      <w:r>
        <w:rPr>
          <w:rFonts w:ascii="Times New Roman" w:eastAsia="Times New Roman" w:hAnsi="Times New Roman" w:cs="Times New Roman"/>
          <w:i/>
          <w:sz w:val="24"/>
          <w:szCs w:val="24"/>
        </w:rPr>
        <w:t xml:space="preserve"> Garden </w:t>
      </w:r>
      <w:proofErr w:type="gramStart"/>
      <w:r>
        <w:rPr>
          <w:rFonts w:ascii="Times New Roman" w:eastAsia="Times New Roman" w:hAnsi="Times New Roman" w:cs="Times New Roman"/>
          <w:i/>
          <w:sz w:val="24"/>
          <w:szCs w:val="24"/>
        </w:rPr>
        <w:t>Sejahtera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Jiwan</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Kabupaten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Madiun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Periode</w:t>
      </w:r>
      <w:proofErr w:type="spellEnd"/>
      <w:r>
        <w:rPr>
          <w:rFonts w:ascii="Times New Roman" w:eastAsia="Times New Roman" w:hAnsi="Times New Roman" w:cs="Times New Roman"/>
          <w:i/>
          <w:sz w:val="24"/>
          <w:szCs w:val="24"/>
        </w:rPr>
        <w:t xml:space="preserve"> 2011-2013 )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1–10.</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Ramli</w:t>
      </w:r>
      <w:proofErr w:type="spellEnd"/>
      <w:r>
        <w:rPr>
          <w:rFonts w:ascii="Times New Roman" w:eastAsia="Times New Roman" w:hAnsi="Times New Roman" w:cs="Times New Roman"/>
          <w:sz w:val="24"/>
          <w:szCs w:val="24"/>
        </w:rPr>
        <w:t xml:space="preserve">, N., Ismail, R. F.,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Samad</w:t>
      </w:r>
      <w:proofErr w:type="spellEnd"/>
      <w:r>
        <w:rPr>
          <w:rFonts w:ascii="Times New Roman" w:eastAsia="Times New Roman" w:hAnsi="Times New Roman" w:cs="Times New Roman"/>
          <w:sz w:val="24"/>
          <w:szCs w:val="24"/>
        </w:rPr>
        <w:t xml:space="preserve">, N. H., &amp; </w:t>
      </w:r>
      <w:proofErr w:type="spellStart"/>
      <w:r>
        <w:rPr>
          <w:rFonts w:ascii="Times New Roman" w:eastAsia="Times New Roman" w:hAnsi="Times New Roman" w:cs="Times New Roman"/>
          <w:sz w:val="24"/>
          <w:szCs w:val="24"/>
        </w:rPr>
        <w:t>Zainon</w:t>
      </w:r>
      <w:proofErr w:type="spellEnd"/>
      <w:r>
        <w:rPr>
          <w:rFonts w:ascii="Times New Roman" w:eastAsia="Times New Roman" w:hAnsi="Times New Roman" w:cs="Times New Roman"/>
          <w:sz w:val="24"/>
          <w:szCs w:val="24"/>
        </w:rPr>
        <w:t xml:space="preserve">, S. (2019). An empirical study on capital structure decisions in determining risk information disclosure in bursa Malaysia ACE market. </w:t>
      </w:r>
      <w:r>
        <w:rPr>
          <w:rFonts w:ascii="Times New Roman" w:eastAsia="Times New Roman" w:hAnsi="Times New Roman" w:cs="Times New Roman"/>
          <w:i/>
          <w:sz w:val="24"/>
          <w:szCs w:val="24"/>
        </w:rPr>
        <w:t>International Journal of Innovation, Creativity and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(5), 303–336.</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Rangkuti</w:t>
      </w:r>
      <w:proofErr w:type="spellEnd"/>
      <w:r>
        <w:rPr>
          <w:rFonts w:ascii="Times New Roman" w:eastAsia="Times New Roman" w:hAnsi="Times New Roman" w:cs="Times New Roman"/>
          <w:sz w:val="24"/>
          <w:szCs w:val="24"/>
        </w:rPr>
        <w:t>, Freddy.</w:t>
      </w:r>
      <w:proofErr w:type="gram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SWOT: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Jakarta: PT. </w:t>
      </w:r>
      <w:proofErr w:type="spellStart"/>
      <w:r>
        <w:rPr>
          <w:rFonts w:ascii="Times New Roman" w:eastAsia="Times New Roman" w:hAnsi="Times New Roman" w:cs="Times New Roman"/>
          <w:sz w:val="24"/>
          <w:szCs w:val="24"/>
        </w:rPr>
        <w:t>Gramedia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Rustam</w:t>
      </w:r>
      <w:proofErr w:type="spellEnd"/>
      <w:r>
        <w:rPr>
          <w:rFonts w:ascii="Times New Roman" w:eastAsia="Times New Roman" w:hAnsi="Times New Roman" w:cs="Times New Roman"/>
          <w:sz w:val="24"/>
          <w:szCs w:val="24"/>
        </w:rPr>
        <w:t>, M. (2015).</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Penentuan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Optimal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w:t>
      </w:r>
      <w:proofErr w:type="spellEnd"/>
      <w:r>
        <w:rPr>
          <w:rFonts w:ascii="Times New Roman" w:eastAsia="Times New Roman" w:hAnsi="Times New Roman" w:cs="Times New Roman"/>
          <w:sz w:val="24"/>
          <w:szCs w:val="24"/>
        </w:rPr>
        <w:t xml:space="preserve">, Real Estate,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Kontruksi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Bursa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Indonesia.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Ekonomi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Kewirausahaan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94. https://doi.org/10.26418/jebik.v4i1.11463</w:t>
      </w:r>
    </w:p>
    <w:p w:rsidR="00642728" w:rsidRDefault="00A30734" w:rsidP="00B03097">
      <w:pPr>
        <w:spacing w:before="25" w:line="240" w:lineRule="auto"/>
        <w:ind w:left="868" w:right="988" w:hanging="86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Saunders, Anthony and Cornett, Marcia M. (2011).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Financial Institution Management (7</w:t>
      </w:r>
      <w:r>
        <w:rPr>
          <w:rFonts w:ascii="Times New Roman" w:eastAsia="Times New Roman" w:hAnsi="Times New Roman" w:cs="Times New Roman"/>
          <w:i/>
          <w:sz w:val="24"/>
          <w:szCs w:val="24"/>
          <w:vertAlign w:val="superscript"/>
        </w:rPr>
        <w:t>th</w:t>
      </w:r>
      <w:r>
        <w:rPr>
          <w:rFonts w:ascii="Times New Roman" w:eastAsia="Times New Roman" w:hAnsi="Times New Roman" w:cs="Times New Roman"/>
          <w:i/>
          <w:sz w:val="24"/>
          <w:szCs w:val="24"/>
        </w:rPr>
        <w:t xml:space="preserve"> edition).</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Singapore. </w:t>
      </w:r>
      <w:proofErr w:type="gramStart"/>
      <w:r>
        <w:rPr>
          <w:rFonts w:ascii="Times New Roman" w:eastAsia="Times New Roman" w:hAnsi="Times New Roman" w:cs="Times New Roman"/>
          <w:sz w:val="24"/>
          <w:szCs w:val="24"/>
        </w:rPr>
        <w:t>McGraw-Hill.</w:t>
      </w:r>
      <w:proofErr w:type="gramEnd"/>
    </w:p>
    <w:p w:rsidR="00642728" w:rsidRDefault="00A30734" w:rsidP="00B03097">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Selma </w:t>
      </w:r>
      <w:proofErr w:type="spellStart"/>
      <w:r>
        <w:rPr>
          <w:rFonts w:ascii="Times New Roman" w:eastAsia="Times New Roman" w:hAnsi="Times New Roman" w:cs="Times New Roman"/>
          <w:color w:val="000000"/>
          <w:sz w:val="24"/>
          <w:szCs w:val="24"/>
        </w:rPr>
        <w:t>Ardiany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Rahma</w:t>
      </w:r>
      <w:proofErr w:type="spellEnd"/>
      <w:r>
        <w:rPr>
          <w:rFonts w:ascii="Times New Roman" w:eastAsia="Times New Roman" w:hAnsi="Times New Roman" w:cs="Times New Roman"/>
          <w:color w:val="000000"/>
          <w:sz w:val="24"/>
          <w:szCs w:val="24"/>
        </w:rPr>
        <w:t>, D. T. (2014).</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Penetapan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Struktur</w:t>
      </w:r>
      <w:proofErr w:type="spellEnd"/>
      <w:r>
        <w:rPr>
          <w:rFonts w:ascii="Times New Roman" w:eastAsia="Times New Roman" w:hAnsi="Times New Roman" w:cs="Times New Roman"/>
          <w:color w:val="000000"/>
          <w:sz w:val="24"/>
          <w:szCs w:val="24"/>
        </w:rPr>
        <w:t xml:space="preserve"> Modal Yang Optimal </w:t>
      </w:r>
      <w:proofErr w:type="spellStart"/>
      <w:r>
        <w:rPr>
          <w:rFonts w:ascii="Times New Roman" w:eastAsia="Times New Roman" w:hAnsi="Times New Roman" w:cs="Times New Roman"/>
          <w:color w:val="000000"/>
          <w:sz w:val="24"/>
          <w:szCs w:val="24"/>
        </w:rPr>
        <w:t>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Meningkatkan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Perusahaan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PT. </w:t>
      </w:r>
      <w:proofErr w:type="spellStart"/>
      <w:r>
        <w:rPr>
          <w:rFonts w:ascii="Times New Roman" w:eastAsia="Times New Roman" w:hAnsi="Times New Roman" w:cs="Times New Roman"/>
          <w:color w:val="000000"/>
          <w:sz w:val="24"/>
          <w:szCs w:val="24"/>
        </w:rPr>
        <w:t>Seemount</w:t>
      </w:r>
      <w:proofErr w:type="spellEnd"/>
      <w:r>
        <w:rPr>
          <w:rFonts w:ascii="Times New Roman" w:eastAsia="Times New Roman" w:hAnsi="Times New Roman" w:cs="Times New Roman"/>
          <w:color w:val="000000"/>
          <w:sz w:val="24"/>
          <w:szCs w:val="24"/>
        </w:rPr>
        <w:t xml:space="preserve"> Garden Sejahtera, </w:t>
      </w:r>
      <w:proofErr w:type="spellStart"/>
      <w:r>
        <w:rPr>
          <w:rFonts w:ascii="Times New Roman" w:eastAsia="Times New Roman" w:hAnsi="Times New Roman" w:cs="Times New Roman"/>
          <w:color w:val="000000"/>
          <w:sz w:val="24"/>
          <w:szCs w:val="24"/>
        </w:rPr>
        <w:t>Jiwan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Kabupaten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Madiun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Periode</w:t>
      </w:r>
      <w:proofErr w:type="spellEnd"/>
      <w:r>
        <w:rPr>
          <w:rFonts w:ascii="Times New Roman" w:eastAsia="Times New Roman" w:hAnsi="Times New Roman" w:cs="Times New Roman"/>
          <w:color w:val="000000"/>
          <w:sz w:val="24"/>
          <w:szCs w:val="24"/>
        </w:rPr>
        <w:t xml:space="preserve"> 2011-2013).</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Administrasi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Bisnis</w:t>
      </w:r>
      <w:proofErr w:type="spellEnd"/>
      <w:r>
        <w:rPr>
          <w:rFonts w:ascii="Times New Roman" w:eastAsia="Times New Roman" w:hAnsi="Times New Roman" w:cs="Times New Roman"/>
          <w:i/>
          <w:color w:val="000000"/>
          <w:sz w:val="24"/>
          <w:szCs w:val="24"/>
        </w:rPr>
        <w:t xml:space="preserve"> (JAB</w:t>
      </w:r>
      <w:proofErr w:type="gramStart"/>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Vol. 13 No. 1</w:t>
      </w:r>
      <w:r>
        <w:rPr>
          <w:rFonts w:ascii="Times New Roman" w:eastAsia="Times New Roman" w:hAnsi="Times New Roman" w:cs="Times New Roman"/>
          <w:color w:val="000000"/>
          <w:sz w:val="24"/>
          <w:szCs w:val="24"/>
        </w:rPr>
        <w:t>, 1-10.</w:t>
      </w:r>
    </w:p>
    <w:p w:rsidR="00642728" w:rsidRDefault="00A30734" w:rsidP="00B03097">
      <w:pPr>
        <w:spacing w:before="243" w:line="240" w:lineRule="auto"/>
        <w:ind w:left="868" w:right="993" w:hanging="86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Shyam</w:t>
      </w:r>
      <w:proofErr w:type="spellEnd"/>
      <w:r>
        <w:rPr>
          <w:rFonts w:ascii="Times New Roman" w:eastAsia="Times New Roman" w:hAnsi="Times New Roman" w:cs="Times New Roman"/>
          <w:sz w:val="24"/>
          <w:szCs w:val="24"/>
        </w:rPr>
        <w:t xml:space="preserve">-Sunder, Lakshmi and Myers, Stewart C. </w:t>
      </w:r>
      <w:r>
        <w:rPr>
          <w:rFonts w:ascii="Times New Roman" w:eastAsia="Times New Roman" w:hAnsi="Times New Roman" w:cs="Times New Roman"/>
          <w:i/>
          <w:sz w:val="24"/>
          <w:szCs w:val="24"/>
        </w:rPr>
        <w:t>Testing Static Tradeoff Against Pecking Order Models of Capital Structure</w:t>
      </w:r>
      <w:r>
        <w:rPr>
          <w:rFonts w:ascii="Times New Roman" w:eastAsia="Times New Roman" w:hAnsi="Times New Roman" w:cs="Times New Roman"/>
          <w:sz w:val="24"/>
          <w:szCs w:val="24"/>
        </w:rPr>
        <w:t>. Journal of Financial Economics, 51:219-244.</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Siliwadi</w:t>
      </w:r>
      <w:proofErr w:type="spellEnd"/>
      <w:r>
        <w:rPr>
          <w:rFonts w:ascii="Times New Roman" w:eastAsia="Times New Roman" w:hAnsi="Times New Roman" w:cs="Times New Roman"/>
          <w:sz w:val="24"/>
          <w:szCs w:val="24"/>
        </w:rPr>
        <w:t xml:space="preserve">, D. N., &amp; </w:t>
      </w:r>
      <w:proofErr w:type="spellStart"/>
      <w:r>
        <w:rPr>
          <w:rFonts w:ascii="Times New Roman" w:eastAsia="Times New Roman" w:hAnsi="Times New Roman" w:cs="Times New Roman"/>
          <w:sz w:val="24"/>
          <w:szCs w:val="24"/>
        </w:rPr>
        <w:t>Muliawani</w:t>
      </w:r>
      <w:proofErr w:type="spellEnd"/>
      <w:r>
        <w:rPr>
          <w:rFonts w:ascii="Times New Roman" w:eastAsia="Times New Roman" w:hAnsi="Times New Roman" w:cs="Times New Roman"/>
          <w:sz w:val="24"/>
          <w:szCs w:val="24"/>
        </w:rPr>
        <w:t xml:space="preserve">, S. H. (2019). </w:t>
      </w:r>
      <w:proofErr w:type="spellStart"/>
      <w:proofErr w:type="gram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Perusahaan Semen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Bursa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Indonesia.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proofErr w:type="spellStart"/>
      <w:r>
        <w:rPr>
          <w:rFonts w:ascii="Times New Roman" w:eastAsia="Times New Roman" w:hAnsi="Times New Roman" w:cs="Times New Roman"/>
          <w:i/>
          <w:sz w:val="24"/>
          <w:szCs w:val="24"/>
        </w:rPr>
        <w:t>Amwal</w:t>
      </w:r>
      <w:proofErr w:type="spellEnd"/>
      <w:r>
        <w:rPr>
          <w:rFonts w:ascii="Times New Roman" w:eastAsia="Times New Roman" w:hAnsi="Times New Roman" w:cs="Times New Roman"/>
          <w:i/>
          <w:sz w:val="24"/>
          <w:szCs w:val="24"/>
        </w:rPr>
        <w:t> : Journal of Islamic Economic Law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235–252. https://doi.org/10.24256/alw.v3i2.492</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Siregar</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Hartoyo</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Sasonko</w:t>
      </w:r>
      <w:proofErr w:type="spellEnd"/>
      <w:r>
        <w:rPr>
          <w:rFonts w:ascii="Times New Roman" w:eastAsia="Times New Roman" w:hAnsi="Times New Roman" w:cs="Times New Roman"/>
          <w:sz w:val="24"/>
          <w:szCs w:val="24"/>
        </w:rPr>
        <w:t>, H. (2019).</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Analisa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Optimal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Ritel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Farmasi</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REKOMEN (</w:t>
      </w:r>
      <w:proofErr w:type="spellStart"/>
      <w:r>
        <w:rPr>
          <w:rFonts w:ascii="Times New Roman" w:eastAsia="Times New Roman" w:hAnsi="Times New Roman" w:cs="Times New Roman"/>
          <w:i/>
          <w:sz w:val="24"/>
          <w:szCs w:val="24"/>
        </w:rPr>
        <w:t>Riset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Ekonomi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30–42.</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Soeprapto</w:t>
      </w:r>
      <w:proofErr w:type="spellEnd"/>
      <w:r>
        <w:rPr>
          <w:rFonts w:ascii="Times New Roman" w:eastAsia="Times New Roman" w:hAnsi="Times New Roman" w:cs="Times New Roman"/>
          <w:sz w:val="24"/>
          <w:szCs w:val="24"/>
        </w:rPr>
        <w:t xml:space="preserve">, D. D. (2020). SWOT analysis of BP. </w:t>
      </w:r>
      <w:proofErr w:type="spellStart"/>
      <w:r>
        <w:rPr>
          <w:rFonts w:ascii="Times New Roman" w:eastAsia="Times New Roman" w:hAnsi="Times New Roman" w:cs="Times New Roman"/>
          <w:sz w:val="24"/>
          <w:szCs w:val="24"/>
        </w:rPr>
        <w:t>Tapera</w:t>
      </w:r>
      <w:proofErr w:type="spellEnd"/>
      <w:r>
        <w:rPr>
          <w:rFonts w:ascii="Times New Roman" w:eastAsia="Times New Roman" w:hAnsi="Times New Roman" w:cs="Times New Roman"/>
          <w:sz w:val="24"/>
          <w:szCs w:val="24"/>
        </w:rPr>
        <w:t xml:space="preserve">: A public housing savings implementing agency in Indonesia. </w:t>
      </w:r>
      <w:r>
        <w:rPr>
          <w:rFonts w:ascii="Times New Roman" w:eastAsia="Times New Roman" w:hAnsi="Times New Roman" w:cs="Times New Roman"/>
          <w:i/>
          <w:sz w:val="24"/>
          <w:szCs w:val="24"/>
        </w:rPr>
        <w:t xml:space="preserve">International Journal of Research in </w:t>
      </w:r>
      <w:r>
        <w:rPr>
          <w:rFonts w:ascii="Times New Roman" w:eastAsia="Times New Roman" w:hAnsi="Times New Roman" w:cs="Times New Roman"/>
          <w:i/>
          <w:sz w:val="24"/>
          <w:szCs w:val="24"/>
        </w:rPr>
        <w:lastRenderedPageBreak/>
        <w:t>Business and Social Science (2147- 4478)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(6), 230–243. https://doi.org/10.20525/ijrbs.v9i6.900</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Sofyaun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Fadah</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Juniar</w:t>
      </w:r>
      <w:proofErr w:type="spellEnd"/>
      <w:r>
        <w:rPr>
          <w:rFonts w:ascii="Times New Roman" w:eastAsia="Times New Roman" w:hAnsi="Times New Roman" w:cs="Times New Roman"/>
          <w:sz w:val="24"/>
          <w:szCs w:val="24"/>
        </w:rPr>
        <w:t>, A.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Strategy for the formation of optimal capital structure with </w:t>
      </w:r>
      <w:proofErr w:type="spellStart"/>
      <w:r>
        <w:rPr>
          <w:rFonts w:ascii="Times New Roman" w:eastAsia="Times New Roman" w:hAnsi="Times New Roman" w:cs="Times New Roman"/>
          <w:sz w:val="24"/>
          <w:szCs w:val="24"/>
        </w:rPr>
        <w:t>swot</w:t>
      </w:r>
      <w:proofErr w:type="spellEnd"/>
      <w:r>
        <w:rPr>
          <w:rFonts w:ascii="Times New Roman" w:eastAsia="Times New Roman" w:hAnsi="Times New Roman" w:cs="Times New Roman"/>
          <w:sz w:val="24"/>
          <w:szCs w:val="24"/>
        </w:rPr>
        <w:t xml:space="preserve"> analysis in food and beverage companies.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Scientific and Technology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(7), 444–449.</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Sujoko</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Modernisasi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135–146.</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Sulistio</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Saifi</w:t>
      </w:r>
      <w:proofErr w:type="spellEnd"/>
      <w:r>
        <w:rPr>
          <w:rFonts w:ascii="Times New Roman" w:eastAsia="Times New Roman" w:hAnsi="Times New Roman" w:cs="Times New Roman"/>
          <w:sz w:val="24"/>
          <w:szCs w:val="24"/>
        </w:rPr>
        <w:t>, M. (2017).</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Yang Optimal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NilaiPeriusahaan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PT. Astra </w:t>
      </w:r>
      <w:proofErr w:type="spellStart"/>
      <w:r>
        <w:rPr>
          <w:rFonts w:ascii="Times New Roman" w:eastAsia="Times New Roman" w:hAnsi="Times New Roman" w:cs="Times New Roman"/>
          <w:sz w:val="24"/>
          <w:szCs w:val="24"/>
        </w:rPr>
        <w:t>Graphia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Tbk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Periode</w:t>
      </w:r>
      <w:proofErr w:type="spellEnd"/>
      <w:r>
        <w:rPr>
          <w:rFonts w:ascii="Times New Roman" w:eastAsia="Times New Roman" w:hAnsi="Times New Roman" w:cs="Times New Roman"/>
          <w:sz w:val="24"/>
          <w:szCs w:val="24"/>
        </w:rPr>
        <w:t xml:space="preserve"> 2013-2015).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Administrasi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i/>
          <w:sz w:val="24"/>
          <w:szCs w:val="24"/>
        </w:rPr>
        <w:t xml:space="preserve"> S1 </w:t>
      </w:r>
      <w:proofErr w:type="spellStart"/>
      <w:r>
        <w:rPr>
          <w:rFonts w:ascii="Times New Roman" w:eastAsia="Times New Roman" w:hAnsi="Times New Roman" w:cs="Times New Roman"/>
          <w:i/>
          <w:sz w:val="24"/>
          <w:szCs w:val="24"/>
        </w:rPr>
        <w:t>Universitas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Brawijaya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48</w:t>
      </w:r>
      <w:r>
        <w:rPr>
          <w:rFonts w:ascii="Times New Roman" w:eastAsia="Times New Roman" w:hAnsi="Times New Roman" w:cs="Times New Roman"/>
          <w:sz w:val="24"/>
          <w:szCs w:val="24"/>
        </w:rPr>
        <w:t>(1), 88075.</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Suryatman</w:t>
      </w:r>
      <w:proofErr w:type="spellEnd"/>
      <w:r>
        <w:rPr>
          <w:rFonts w:ascii="Times New Roman" w:eastAsia="Times New Roman" w:hAnsi="Times New Roman" w:cs="Times New Roman"/>
          <w:sz w:val="24"/>
          <w:szCs w:val="24"/>
        </w:rPr>
        <w:t xml:space="preserve">, T. H., </w:t>
      </w:r>
      <w:proofErr w:type="spellStart"/>
      <w:r>
        <w:rPr>
          <w:rFonts w:ascii="Times New Roman" w:eastAsia="Times New Roman" w:hAnsi="Times New Roman" w:cs="Times New Roman"/>
          <w:sz w:val="24"/>
          <w:szCs w:val="24"/>
        </w:rPr>
        <w:t>Kosim</w:t>
      </w:r>
      <w:proofErr w:type="spellEnd"/>
      <w:r>
        <w:rPr>
          <w:rFonts w:ascii="Times New Roman" w:eastAsia="Times New Roman" w:hAnsi="Times New Roman" w:cs="Times New Roman"/>
          <w:sz w:val="24"/>
          <w:szCs w:val="24"/>
        </w:rPr>
        <w:t>, M. E., &amp; S, G. E. (2021).</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Perencanaan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Strategi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Pemasaran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Analisis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Swot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Dalam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Upaya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Meningkatkan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Penjualan</w:t>
      </w:r>
      <w:proofErr w:type="spellEnd"/>
      <w:r>
        <w:rPr>
          <w:rFonts w:ascii="Times New Roman" w:eastAsia="Times New Roman" w:hAnsi="Times New Roman" w:cs="Times New Roman"/>
          <w:i/>
          <w:sz w:val="24"/>
          <w:szCs w:val="24"/>
        </w:rPr>
        <w:t xml:space="preserve"> Sepatu Adidas Di </w:t>
      </w:r>
      <w:proofErr w:type="gramStart"/>
      <w:r>
        <w:rPr>
          <w:rFonts w:ascii="Times New Roman" w:eastAsia="Times New Roman" w:hAnsi="Times New Roman" w:cs="Times New Roman"/>
          <w:i/>
          <w:sz w:val="24"/>
          <w:szCs w:val="24"/>
        </w:rPr>
        <w:t>PT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Panarub</w:t>
      </w:r>
      <w:proofErr w:type="spellEnd"/>
      <w:r>
        <w:rPr>
          <w:rFonts w:ascii="Times New Roman" w:eastAsia="Times New Roman" w:hAnsi="Times New Roman" w:cs="Times New Roman"/>
          <w:i/>
          <w:sz w:val="24"/>
          <w:szCs w:val="24"/>
        </w:rPr>
        <w:t xml:space="preserve"> Industry Marketing Strategy Planning With Analysis </w:t>
      </w:r>
      <w:proofErr w:type="spellStart"/>
      <w:r>
        <w:rPr>
          <w:rFonts w:ascii="Times New Roman" w:eastAsia="Times New Roman" w:hAnsi="Times New Roman" w:cs="Times New Roman"/>
          <w:i/>
          <w:sz w:val="24"/>
          <w:szCs w:val="24"/>
        </w:rPr>
        <w:t>Swot</w:t>
      </w:r>
      <w:proofErr w:type="spellEnd"/>
      <w:r>
        <w:rPr>
          <w:rFonts w:ascii="Times New Roman" w:eastAsia="Times New Roman" w:hAnsi="Times New Roman" w:cs="Times New Roman"/>
          <w:i/>
          <w:sz w:val="24"/>
          <w:szCs w:val="24"/>
        </w:rPr>
        <w:t xml:space="preserve"> In Effort To Increase Sales Of Adidas Shoe At </w:t>
      </w:r>
      <w:proofErr w:type="gramStart"/>
      <w:r>
        <w:rPr>
          <w:rFonts w:ascii="Times New Roman" w:eastAsia="Times New Roman" w:hAnsi="Times New Roman" w:cs="Times New Roman"/>
          <w:i/>
          <w:sz w:val="24"/>
          <w:szCs w:val="24"/>
        </w:rPr>
        <w:t>PT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Panarub</w:t>
      </w:r>
      <w:proofErr w:type="spellEnd"/>
      <w:r>
        <w:rPr>
          <w:rFonts w:ascii="Times New Roman" w:eastAsia="Times New Roman" w:hAnsi="Times New Roman" w:cs="Times New Roman"/>
          <w:i/>
          <w:sz w:val="24"/>
          <w:szCs w:val="24"/>
        </w:rPr>
        <w:t xml:space="preserve"> Industry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 43–56.</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Sumantra</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Suryani</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Widnyana</w:t>
      </w:r>
      <w:proofErr w:type="spellEnd"/>
      <w:r>
        <w:rPr>
          <w:rFonts w:ascii="Times New Roman" w:eastAsia="Times New Roman" w:hAnsi="Times New Roman" w:cs="Times New Roman"/>
          <w:sz w:val="24"/>
          <w:szCs w:val="24"/>
        </w:rPr>
        <w:t xml:space="preserve">, I. W., Carmen C, M., </w:t>
      </w:r>
      <w:proofErr w:type="spellStart"/>
      <w:r>
        <w:rPr>
          <w:rFonts w:ascii="Times New Roman" w:eastAsia="Times New Roman" w:hAnsi="Times New Roman" w:cs="Times New Roman"/>
          <w:sz w:val="24"/>
          <w:szCs w:val="24"/>
        </w:rPr>
        <w:t>Sutrisna</w:t>
      </w:r>
      <w:proofErr w:type="spellEnd"/>
      <w:r>
        <w:rPr>
          <w:rFonts w:ascii="Times New Roman" w:eastAsia="Times New Roman" w:hAnsi="Times New Roman" w:cs="Times New Roman"/>
          <w:sz w:val="24"/>
          <w:szCs w:val="24"/>
        </w:rPr>
        <w:t>, I</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 </w:t>
      </w:r>
      <w:proofErr w:type="spellStart"/>
      <w:r>
        <w:rPr>
          <w:rFonts w:ascii="Times New Roman" w:eastAsia="Times New Roman" w:hAnsi="Times New Roman" w:cs="Times New Roman"/>
          <w:sz w:val="24"/>
          <w:szCs w:val="24"/>
        </w:rPr>
        <w:t>Oktarina</w:t>
      </w:r>
      <w:proofErr w:type="spellEnd"/>
      <w:r>
        <w:rPr>
          <w:rFonts w:ascii="Times New Roman" w:eastAsia="Times New Roman" w:hAnsi="Times New Roman" w:cs="Times New Roman"/>
          <w:sz w:val="24"/>
          <w:szCs w:val="24"/>
        </w:rPr>
        <w:t>, &amp; Dana, R. S. (2019).</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Swot</w:t>
      </w:r>
      <w:proofErr w:type="spellEnd"/>
      <w:r>
        <w:rPr>
          <w:rFonts w:ascii="Times New Roman" w:eastAsia="Times New Roman" w:hAnsi="Times New Roman" w:cs="Times New Roman"/>
          <w:sz w:val="24"/>
          <w:szCs w:val="24"/>
        </w:rPr>
        <w:t xml:space="preserve"> Analysis of Village Owned Enterprises (</w:t>
      </w:r>
      <w:proofErr w:type="spellStart"/>
      <w:r>
        <w:rPr>
          <w:rFonts w:ascii="Times New Roman" w:eastAsia="Times New Roman" w:hAnsi="Times New Roman" w:cs="Times New Roman"/>
          <w:sz w:val="24"/>
          <w:szCs w:val="24"/>
        </w:rPr>
        <w:t>Bumdes</w:t>
      </w:r>
      <w:proofErr w:type="spellEnd"/>
      <w:r>
        <w:rPr>
          <w:rFonts w:ascii="Times New Roman" w:eastAsia="Times New Roman" w:hAnsi="Times New Roman" w:cs="Times New Roman"/>
          <w:sz w:val="24"/>
          <w:szCs w:val="24"/>
        </w:rPr>
        <w:t>) Trading Business of “</w:t>
      </w:r>
      <w:proofErr w:type="spellStart"/>
      <w:r>
        <w:rPr>
          <w:rFonts w:ascii="Times New Roman" w:eastAsia="Times New Roman" w:hAnsi="Times New Roman" w:cs="Times New Roman"/>
          <w:sz w:val="24"/>
          <w:szCs w:val="24"/>
        </w:rPr>
        <w:t>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w:t>
      </w:r>
      <w:proofErr w:type="spellEnd"/>
      <w:r>
        <w:rPr>
          <w:rFonts w:ascii="Times New Roman" w:eastAsia="Times New Roman" w:hAnsi="Times New Roman" w:cs="Times New Roman"/>
          <w:sz w:val="24"/>
          <w:szCs w:val="24"/>
        </w:rPr>
        <w:t xml:space="preserve">” Goods in </w:t>
      </w:r>
      <w:proofErr w:type="spellStart"/>
      <w:r>
        <w:rPr>
          <w:rFonts w:ascii="Times New Roman" w:eastAsia="Times New Roman" w:hAnsi="Times New Roman" w:cs="Times New Roman"/>
          <w:sz w:val="24"/>
          <w:szCs w:val="24"/>
        </w:rPr>
        <w:t>Baha</w:t>
      </w:r>
      <w:proofErr w:type="spellEnd"/>
      <w:r>
        <w:rPr>
          <w:rFonts w:ascii="Times New Roman" w:eastAsia="Times New Roman" w:hAnsi="Times New Roman" w:cs="Times New Roman"/>
          <w:sz w:val="24"/>
          <w:szCs w:val="24"/>
        </w:rPr>
        <w:t xml:space="preserve"> Village -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Mengwi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Badung</w:t>
      </w:r>
      <w:proofErr w:type="spellEnd"/>
      <w:r>
        <w:rPr>
          <w:rFonts w:ascii="Times New Roman" w:eastAsia="Times New Roman" w:hAnsi="Times New Roman" w:cs="Times New Roman"/>
          <w:sz w:val="24"/>
          <w:szCs w:val="24"/>
        </w:rPr>
        <w:t xml:space="preserve"> District - Bali. </w:t>
      </w:r>
      <w:r>
        <w:rPr>
          <w:rFonts w:ascii="Times New Roman" w:eastAsia="Times New Roman" w:hAnsi="Times New Roman" w:cs="Times New Roman"/>
          <w:i/>
          <w:sz w:val="24"/>
          <w:szCs w:val="24"/>
        </w:rPr>
        <w:t xml:space="preserve">International Journal of </w:t>
      </w:r>
      <w:proofErr w:type="gramStart"/>
      <w:r>
        <w:rPr>
          <w:rFonts w:ascii="Times New Roman" w:eastAsia="Times New Roman" w:hAnsi="Times New Roman" w:cs="Times New Roman"/>
          <w:i/>
          <w:sz w:val="24"/>
          <w:szCs w:val="24"/>
        </w:rPr>
        <w:t>Sustainability ,</w:t>
      </w:r>
      <w:proofErr w:type="gramEnd"/>
      <w:r>
        <w:rPr>
          <w:rFonts w:ascii="Times New Roman" w:eastAsia="Times New Roman" w:hAnsi="Times New Roman" w:cs="Times New Roman"/>
          <w:i/>
          <w:sz w:val="24"/>
          <w:szCs w:val="24"/>
        </w:rPr>
        <w:t xml:space="preserve"> Education, and Global Creative Economic (</w:t>
      </w:r>
      <w:proofErr w:type="spellStart"/>
      <w:r>
        <w:rPr>
          <w:rFonts w:ascii="Times New Roman" w:eastAsia="Times New Roman" w:hAnsi="Times New Roman" w:cs="Times New Roman"/>
          <w:i/>
          <w:sz w:val="24"/>
          <w:szCs w:val="24"/>
        </w:rPr>
        <w:t>Ijsegce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(1), 15–20.</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Syafa’at</w:t>
      </w:r>
      <w:proofErr w:type="spellEnd"/>
      <w:r>
        <w:rPr>
          <w:rFonts w:ascii="Times New Roman" w:eastAsia="Times New Roman" w:hAnsi="Times New Roman" w:cs="Times New Roman"/>
          <w:sz w:val="24"/>
          <w:szCs w:val="24"/>
        </w:rPr>
        <w:t>, C., &amp; Wahid, A.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Strategi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Pemasaran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Produk</w:t>
      </w:r>
      <w:proofErr w:type="spellEnd"/>
      <w:r>
        <w:rPr>
          <w:rFonts w:ascii="Times New Roman" w:eastAsia="Times New Roman" w:hAnsi="Times New Roman" w:cs="Times New Roman"/>
          <w:i/>
          <w:sz w:val="24"/>
          <w:szCs w:val="24"/>
        </w:rPr>
        <w:t xml:space="preserve"> Sepatu MENGGUNAKAN </w:t>
      </w:r>
      <w:proofErr w:type="spellStart"/>
      <w:r>
        <w:rPr>
          <w:rFonts w:ascii="Times New Roman" w:eastAsia="Times New Roman" w:hAnsi="Times New Roman" w:cs="Times New Roman"/>
          <w:i/>
          <w:sz w:val="24"/>
          <w:szCs w:val="24"/>
        </w:rPr>
        <w:t>Menggunakan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Metode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Analisis</w:t>
      </w:r>
      <w:proofErr w:type="spellEnd"/>
      <w:r>
        <w:rPr>
          <w:rFonts w:ascii="Times New Roman" w:eastAsia="Times New Roman" w:hAnsi="Times New Roman" w:cs="Times New Roman"/>
          <w:i/>
          <w:sz w:val="24"/>
          <w:szCs w:val="24"/>
        </w:rPr>
        <w:t xml:space="preserve"> SWOT </w:t>
      </w:r>
      <w:proofErr w:type="spellStart"/>
      <w:r>
        <w:rPr>
          <w:rFonts w:ascii="Times New Roman" w:eastAsia="Times New Roman" w:hAnsi="Times New Roman" w:cs="Times New Roman"/>
          <w:i/>
          <w:sz w:val="24"/>
          <w:szCs w:val="24"/>
        </w:rPr>
        <w:t>Dengan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Matriks</w:t>
      </w:r>
      <w:proofErr w:type="spellEnd"/>
      <w:r>
        <w:rPr>
          <w:rFonts w:ascii="Times New Roman" w:eastAsia="Times New Roman" w:hAnsi="Times New Roman" w:cs="Times New Roman"/>
          <w:i/>
          <w:sz w:val="24"/>
          <w:szCs w:val="24"/>
        </w:rPr>
        <w:t xml:space="preserve"> IFAS </w:t>
      </w:r>
      <w:proofErr w:type="spellStart"/>
      <w:r>
        <w:rPr>
          <w:rFonts w:ascii="Times New Roman" w:eastAsia="Times New Roman" w:hAnsi="Times New Roman" w:cs="Times New Roman"/>
          <w:i/>
          <w:sz w:val="24"/>
          <w:szCs w:val="24"/>
        </w:rPr>
        <w:t>dan</w:t>
      </w:r>
      <w:proofErr w:type="spellEnd"/>
      <w:r>
        <w:rPr>
          <w:rFonts w:ascii="Times New Roman" w:eastAsia="Times New Roman" w:hAnsi="Times New Roman" w:cs="Times New Roman"/>
          <w:i/>
          <w:sz w:val="24"/>
          <w:szCs w:val="24"/>
        </w:rPr>
        <w:t xml:space="preserve"> EFAS di PT. BAGOES TJIPTA KARYA (1</w:t>
      </w:r>
      <w:proofErr w:type="gramStart"/>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Achmad</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108–117.</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Udayana</w:t>
      </w:r>
      <w:proofErr w:type="spellEnd"/>
      <w:r>
        <w:rPr>
          <w:rFonts w:ascii="Times New Roman" w:eastAsia="Times New Roman" w:hAnsi="Times New Roman" w:cs="Times New Roman"/>
          <w:sz w:val="24"/>
          <w:szCs w:val="24"/>
        </w:rPr>
        <w:t xml:space="preserve">, E. A. U., </w:t>
      </w:r>
      <w:proofErr w:type="spellStart"/>
      <w:r>
        <w:rPr>
          <w:rFonts w:ascii="Times New Roman" w:eastAsia="Times New Roman" w:hAnsi="Times New Roman" w:cs="Times New Roman"/>
          <w:sz w:val="24"/>
          <w:szCs w:val="24"/>
        </w:rPr>
        <w:t>Kebangkrutan</w:t>
      </w:r>
      <w:proofErr w:type="spellEnd"/>
      <w:r>
        <w:rPr>
          <w:rFonts w:ascii="Times New Roman" w:eastAsia="Times New Roman" w:hAnsi="Times New Roman" w:cs="Times New Roman"/>
          <w:sz w:val="24"/>
          <w:szCs w:val="24"/>
        </w:rPr>
        <w:t xml:space="preserve">, P., Model, D., Made, N., </w:t>
      </w:r>
      <w:proofErr w:type="spellStart"/>
      <w:r>
        <w:rPr>
          <w:rFonts w:ascii="Times New Roman" w:eastAsia="Times New Roman" w:hAnsi="Times New Roman" w:cs="Times New Roman"/>
          <w:sz w:val="24"/>
          <w:szCs w:val="24"/>
        </w:rPr>
        <w:t>Dwi</w:t>
      </w:r>
      <w:proofErr w:type="spellEnd"/>
      <w:r>
        <w:rPr>
          <w:rFonts w:ascii="Times New Roman" w:eastAsia="Times New Roman" w:hAnsi="Times New Roman" w:cs="Times New Roman"/>
          <w:sz w:val="24"/>
          <w:szCs w:val="24"/>
        </w:rPr>
        <w:t xml:space="preserve">, E., &amp; Sari, M. M. R. (2013).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Prediksi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Kebangkrutan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Model Grover, Altman Z-Score, </w:t>
      </w:r>
      <w:proofErr w:type="spellStart"/>
      <w:r>
        <w:rPr>
          <w:rFonts w:ascii="Times New Roman" w:eastAsia="Times New Roman" w:hAnsi="Times New Roman" w:cs="Times New Roman"/>
          <w:sz w:val="24"/>
          <w:szCs w:val="24"/>
        </w:rPr>
        <w:t>Springate</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Zmijewski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Perusahaan Food and Beverage Di BEI. </w:t>
      </w:r>
      <w:r>
        <w:rPr>
          <w:rFonts w:ascii="Times New Roman" w:eastAsia="Times New Roman" w:hAnsi="Times New Roman" w:cs="Times New Roman"/>
          <w:i/>
          <w:sz w:val="24"/>
          <w:szCs w:val="24"/>
        </w:rPr>
        <w:t>E-</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Akuntansi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417–435.</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Vernimmen</w:t>
      </w:r>
      <w:proofErr w:type="spellEnd"/>
      <w:r>
        <w:rPr>
          <w:rFonts w:ascii="Times New Roman" w:eastAsia="Times New Roman" w:hAnsi="Times New Roman" w:cs="Times New Roman"/>
          <w:sz w:val="24"/>
          <w:szCs w:val="24"/>
        </w:rPr>
        <w:t xml:space="preserve">, P., Le Fur, Y., </w:t>
      </w:r>
      <w:proofErr w:type="spellStart"/>
      <w:r>
        <w:rPr>
          <w:rFonts w:ascii="Times New Roman" w:eastAsia="Times New Roman" w:hAnsi="Times New Roman" w:cs="Times New Roman"/>
          <w:sz w:val="24"/>
          <w:szCs w:val="24"/>
        </w:rPr>
        <w:t>Dallochio</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Salvi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Quiry</w:t>
      </w:r>
      <w:proofErr w:type="spellEnd"/>
      <w:r>
        <w:rPr>
          <w:rFonts w:ascii="Times New Roman" w:eastAsia="Times New Roman" w:hAnsi="Times New Roman" w:cs="Times New Roman"/>
          <w:sz w:val="24"/>
          <w:szCs w:val="24"/>
        </w:rPr>
        <w:t>, P.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Corporate Finance.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Corporate Finance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https://doi.org/10.1002/9781119424444</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Villela</w:t>
      </w:r>
      <w:proofErr w:type="spellEnd"/>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lucia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aversa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(2013).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Perusahaan, Volume </w:t>
      </w:r>
      <w:proofErr w:type="spellStart"/>
      <w:r>
        <w:rPr>
          <w:rFonts w:ascii="Times New Roman" w:eastAsia="Times New Roman" w:hAnsi="Times New Roman" w:cs="Times New Roman"/>
          <w:sz w:val="24"/>
          <w:szCs w:val="24"/>
        </w:rPr>
        <w:t>Perdagangan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Volaitily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Perdagangan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Chemical Information and Modeling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53</w:t>
      </w:r>
      <w:r>
        <w:rPr>
          <w:rFonts w:ascii="Times New Roman" w:eastAsia="Times New Roman" w:hAnsi="Times New Roman" w:cs="Times New Roman"/>
          <w:sz w:val="24"/>
          <w:szCs w:val="24"/>
        </w:rPr>
        <w:t>(9), 1689–1699. http://e-journal.uajy.ac.id/7495/3/MM202075.pdf</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Wangsawinangun</w:t>
      </w:r>
      <w:proofErr w:type="spellEnd"/>
      <w:r>
        <w:rPr>
          <w:rFonts w:ascii="Times New Roman" w:eastAsia="Times New Roman" w:hAnsi="Times New Roman" w:cs="Times New Roman"/>
          <w:sz w:val="24"/>
          <w:szCs w:val="24"/>
        </w:rPr>
        <w:t xml:space="preserve">, R. (2014). </w:t>
      </w:r>
      <w:proofErr w:type="spellStart"/>
      <w:r>
        <w:rPr>
          <w:rFonts w:ascii="Times New Roman" w:eastAsia="Times New Roman" w:hAnsi="Times New Roman" w:cs="Times New Roman"/>
          <w:sz w:val="24"/>
          <w:szCs w:val="24"/>
        </w:rPr>
        <w:t>Penetapan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Modal Yang Optimal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PT. Astra International, </w:t>
      </w:r>
      <w:proofErr w:type="spellStart"/>
      <w:r>
        <w:rPr>
          <w:rFonts w:ascii="Times New Roman" w:eastAsia="Times New Roman" w:hAnsi="Times New Roman" w:cs="Times New Roman"/>
          <w:sz w:val="24"/>
          <w:szCs w:val="24"/>
        </w:rPr>
        <w:lastRenderedPageBreak/>
        <w:t>Tbk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2008-2012).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Administrasi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i/>
          <w:sz w:val="24"/>
          <w:szCs w:val="24"/>
        </w:rPr>
        <w:t xml:space="preserve"> S1 </w:t>
      </w:r>
      <w:proofErr w:type="spellStart"/>
      <w:r>
        <w:rPr>
          <w:rFonts w:ascii="Times New Roman" w:eastAsia="Times New Roman" w:hAnsi="Times New Roman" w:cs="Times New Roman"/>
          <w:i/>
          <w:sz w:val="24"/>
          <w:szCs w:val="24"/>
        </w:rPr>
        <w:t>Universitas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Brawijaya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(2), 81713.</w:t>
      </w:r>
    </w:p>
    <w:p w:rsidR="00642728" w:rsidRDefault="00A30734" w:rsidP="00B03097">
      <w:pPr>
        <w:spacing w:line="240" w:lineRule="auto"/>
        <w:ind w:left="480" w:hanging="4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Zulhiana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Suliantoro</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Purwaningsih</w:t>
      </w:r>
      <w:proofErr w:type="spellEnd"/>
      <w:r>
        <w:rPr>
          <w:rFonts w:ascii="Times New Roman" w:eastAsia="Times New Roman" w:hAnsi="Times New Roman" w:cs="Times New Roman"/>
          <w:sz w:val="24"/>
          <w:szCs w:val="24"/>
        </w:rPr>
        <w:t>, R. (2015).</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Pemilihan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Quantitative Strategy Planning Matrix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Ukm</w:t>
      </w:r>
      <w:proofErr w:type="spellEnd"/>
      <w:r>
        <w:rPr>
          <w:rFonts w:ascii="Times New Roman" w:eastAsia="Times New Roman" w:hAnsi="Times New Roman" w:cs="Times New Roman"/>
          <w:sz w:val="24"/>
          <w:szCs w:val="24"/>
        </w:rPr>
        <w:t xml:space="preserve"> Batik </w:t>
      </w:r>
      <w:proofErr w:type="spellStart"/>
      <w:r>
        <w:rPr>
          <w:rFonts w:ascii="Times New Roman" w:eastAsia="Times New Roman" w:hAnsi="Times New Roman" w:cs="Times New Roman"/>
          <w:sz w:val="24"/>
          <w:szCs w:val="24"/>
        </w:rPr>
        <w:t>Banyumas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Industrial Engineering Online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(October), 1–12.</w:t>
      </w:r>
    </w:p>
    <w:p w:rsidR="00642728" w:rsidRDefault="00642728" w:rsidP="00B0309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642728" w:rsidRDefault="00A30734" w:rsidP="00B0309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PT  Darya</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Varia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Tbk</w:t>
      </w:r>
      <w:proofErr w:type="spellEnd"/>
      <w:r>
        <w:rPr>
          <w:rFonts w:ascii="Times New Roman" w:eastAsia="Times New Roman" w:hAnsi="Times New Roman" w:cs="Times New Roman"/>
          <w:sz w:val="24"/>
          <w:szCs w:val="24"/>
        </w:rPr>
        <w:t xml:space="preserve"> (DVLA)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2014 - 2019</w:t>
      </w:r>
    </w:p>
    <w:p w:rsidR="00642728" w:rsidRDefault="00A30734" w:rsidP="00B0309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hyperlink r:id="rId10">
        <w:r>
          <w:rPr>
            <w:rFonts w:ascii="Times New Roman" w:eastAsia="Times New Roman" w:hAnsi="Times New Roman" w:cs="Times New Roman"/>
            <w:color w:val="0000FF"/>
            <w:sz w:val="24"/>
            <w:szCs w:val="24"/>
            <w:u w:val="single"/>
          </w:rPr>
          <w:t>http://www.darya-varia.com/</w:t>
        </w:r>
      </w:hyperlink>
      <w:r>
        <w:rPr>
          <w:rFonts w:ascii="Times New Roman" w:eastAsia="Times New Roman" w:hAnsi="Times New Roman" w:cs="Times New Roman"/>
          <w:color w:val="000000"/>
          <w:sz w:val="24"/>
          <w:szCs w:val="24"/>
        </w:rPr>
        <w:t xml:space="preserve"> </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w:t>
      </w:r>
      <w:proofErr w:type="spellStart"/>
      <w:r>
        <w:rPr>
          <w:rFonts w:ascii="Times New Roman" w:eastAsia="Times New Roman" w:hAnsi="Times New Roman" w:cs="Times New Roman"/>
          <w:color w:val="000000"/>
          <w:sz w:val="24"/>
          <w:szCs w:val="24"/>
        </w:rPr>
        <w:t>Indofarma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Persero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Tbk</w:t>
      </w:r>
      <w:proofErr w:type="spellEnd"/>
      <w:r>
        <w:rPr>
          <w:rFonts w:ascii="Times New Roman" w:eastAsia="Times New Roman" w:hAnsi="Times New Roman" w:cs="Times New Roman"/>
          <w:color w:val="000000"/>
          <w:sz w:val="24"/>
          <w:szCs w:val="24"/>
        </w:rPr>
        <w:t xml:space="preserve"> (INAF)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2014 - 2019</w:t>
      </w:r>
    </w:p>
    <w:bookmarkStart w:id="1" w:name="_gjdgxs" w:colFirst="0" w:colLast="0"/>
    <w:bookmarkEnd w:id="1"/>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r>
        <w:fldChar w:fldCharType="begin"/>
      </w:r>
      <w:r>
        <w:instrText xml:space="preserve"> HYPERLINK "https://indofarma.id/en/" \h </w:instrText>
      </w:r>
      <w:r>
        <w:fldChar w:fldCharType="separate"/>
      </w:r>
      <w:r>
        <w:rPr>
          <w:rFonts w:ascii="Times New Roman" w:eastAsia="Times New Roman" w:hAnsi="Times New Roman" w:cs="Times New Roman"/>
          <w:color w:val="0000FF"/>
          <w:sz w:val="24"/>
          <w:szCs w:val="24"/>
          <w:u w:val="single"/>
        </w:rPr>
        <w:t>https://indofarma.id/en/</w:t>
      </w:r>
      <w:r>
        <w:rPr>
          <w:rFonts w:ascii="Times New Roman" w:eastAsia="Times New Roman" w:hAnsi="Times New Roman" w:cs="Times New Roman"/>
          <w:color w:val="0000FF"/>
          <w:sz w:val="24"/>
          <w:szCs w:val="24"/>
          <w:u w:val="single"/>
        </w:rPr>
        <w:fldChar w:fldCharType="end"/>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Kimia </w:t>
      </w:r>
      <w:proofErr w:type="spellStart"/>
      <w:r>
        <w:rPr>
          <w:rFonts w:ascii="Times New Roman" w:eastAsia="Times New Roman" w:hAnsi="Times New Roman" w:cs="Times New Roman"/>
          <w:color w:val="000000"/>
          <w:sz w:val="24"/>
          <w:szCs w:val="24"/>
        </w:rPr>
        <w:t>Farma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Persero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Tbk</w:t>
      </w:r>
      <w:proofErr w:type="spellEnd"/>
      <w:r>
        <w:rPr>
          <w:rFonts w:ascii="Times New Roman" w:eastAsia="Times New Roman" w:hAnsi="Times New Roman" w:cs="Times New Roman"/>
          <w:color w:val="000000"/>
          <w:sz w:val="24"/>
          <w:szCs w:val="24"/>
        </w:rPr>
        <w:t xml:space="preserve"> (KAEF)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2014 - 2019</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1">
        <w:r>
          <w:rPr>
            <w:rFonts w:ascii="Times New Roman" w:eastAsia="Times New Roman" w:hAnsi="Times New Roman" w:cs="Times New Roman"/>
            <w:color w:val="0000FF"/>
            <w:sz w:val="24"/>
            <w:szCs w:val="24"/>
            <w:u w:val="single"/>
          </w:rPr>
          <w:t>https://www.kimiafarma.co.id/index.php?lang=id</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Kalbe </w:t>
      </w:r>
      <w:proofErr w:type="spellStart"/>
      <w:r>
        <w:rPr>
          <w:rFonts w:ascii="Times New Roman" w:eastAsia="Times New Roman" w:hAnsi="Times New Roman" w:cs="Times New Roman"/>
          <w:color w:val="000000"/>
          <w:sz w:val="24"/>
          <w:szCs w:val="24"/>
        </w:rPr>
        <w:t>Farma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Tbk</w:t>
      </w:r>
      <w:proofErr w:type="spellEnd"/>
      <w:r>
        <w:rPr>
          <w:rFonts w:ascii="Times New Roman" w:eastAsia="Times New Roman" w:hAnsi="Times New Roman" w:cs="Times New Roman"/>
          <w:color w:val="000000"/>
          <w:sz w:val="24"/>
          <w:szCs w:val="24"/>
        </w:rPr>
        <w:t xml:space="preserve"> (KLBF)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2014 - 2019</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2">
        <w:r>
          <w:rPr>
            <w:rFonts w:ascii="Times New Roman" w:eastAsia="Times New Roman" w:hAnsi="Times New Roman" w:cs="Times New Roman"/>
            <w:color w:val="0000FF"/>
            <w:sz w:val="24"/>
            <w:szCs w:val="24"/>
            <w:u w:val="single"/>
          </w:rPr>
          <w:t>https://www.kalbe.co.id/</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Merck </w:t>
      </w:r>
      <w:proofErr w:type="spellStart"/>
      <w:r>
        <w:rPr>
          <w:rFonts w:ascii="Times New Roman" w:eastAsia="Times New Roman" w:hAnsi="Times New Roman" w:cs="Times New Roman"/>
          <w:color w:val="000000"/>
          <w:sz w:val="24"/>
          <w:szCs w:val="24"/>
        </w:rPr>
        <w:t>Tbk</w:t>
      </w:r>
      <w:proofErr w:type="spellEnd"/>
      <w:r>
        <w:rPr>
          <w:rFonts w:ascii="Times New Roman" w:eastAsia="Times New Roman" w:hAnsi="Times New Roman" w:cs="Times New Roman"/>
          <w:color w:val="000000"/>
          <w:sz w:val="24"/>
          <w:szCs w:val="24"/>
        </w:rPr>
        <w:t xml:space="preserve"> (MERK)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2014 - 2019</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3">
        <w:r>
          <w:rPr>
            <w:rFonts w:ascii="Times New Roman" w:eastAsia="Times New Roman" w:hAnsi="Times New Roman" w:cs="Times New Roman"/>
            <w:color w:val="0000FF"/>
            <w:sz w:val="24"/>
            <w:szCs w:val="24"/>
            <w:u w:val="single"/>
          </w:rPr>
          <w:t>https://www.merckgroup.com/id-id</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w:t>
      </w:r>
      <w:proofErr w:type="spellStart"/>
      <w:r>
        <w:rPr>
          <w:rFonts w:ascii="Times New Roman" w:eastAsia="Times New Roman" w:hAnsi="Times New Roman" w:cs="Times New Roman"/>
          <w:color w:val="000000"/>
          <w:sz w:val="24"/>
          <w:szCs w:val="24"/>
        </w:rPr>
        <w:t>Pyridam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Farma</w:t>
      </w:r>
      <w:proofErr w:type="spellEnd"/>
      <w:r>
        <w:rPr>
          <w:rFonts w:ascii="Times New Roman" w:eastAsia="Times New Roman" w:hAnsi="Times New Roman" w:cs="Times New Roman"/>
          <w:color w:val="000000"/>
          <w:sz w:val="24"/>
          <w:szCs w:val="24"/>
        </w:rPr>
        <w:t xml:space="preserve"> (PYFA)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2014 - 2019</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4">
        <w:r>
          <w:rPr>
            <w:rFonts w:ascii="Times New Roman" w:eastAsia="Times New Roman" w:hAnsi="Times New Roman" w:cs="Times New Roman"/>
            <w:color w:val="0000FF"/>
            <w:sz w:val="24"/>
            <w:szCs w:val="24"/>
            <w:u w:val="single"/>
          </w:rPr>
          <w:t>https://www.pyfa.co.id/</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Merck Sharp </w:t>
      </w:r>
      <w:proofErr w:type="spellStart"/>
      <w:r>
        <w:rPr>
          <w:rFonts w:ascii="Times New Roman" w:eastAsia="Times New Roman" w:hAnsi="Times New Roman" w:cs="Times New Roman"/>
          <w:color w:val="000000"/>
          <w:sz w:val="24"/>
          <w:szCs w:val="24"/>
        </w:rPr>
        <w:t>Dohme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Pharma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Tbk</w:t>
      </w:r>
      <w:proofErr w:type="spellEnd"/>
      <w:r>
        <w:rPr>
          <w:rFonts w:ascii="Times New Roman" w:eastAsia="Times New Roman" w:hAnsi="Times New Roman" w:cs="Times New Roman"/>
          <w:color w:val="000000"/>
          <w:sz w:val="24"/>
          <w:szCs w:val="24"/>
        </w:rPr>
        <w:t xml:space="preserve"> (SCPI)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2014 - 2019</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w:t>
      </w:r>
      <w:proofErr w:type="spellStart"/>
      <w:r>
        <w:rPr>
          <w:rFonts w:ascii="Times New Roman" w:eastAsia="Times New Roman" w:hAnsi="Times New Roman" w:cs="Times New Roman"/>
          <w:color w:val="000000"/>
          <w:sz w:val="24"/>
          <w:szCs w:val="24"/>
        </w:rPr>
        <w:t>Industri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Sido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Muncul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Tbk</w:t>
      </w:r>
      <w:proofErr w:type="spellEnd"/>
      <w:r>
        <w:rPr>
          <w:rFonts w:ascii="Times New Roman" w:eastAsia="Times New Roman" w:hAnsi="Times New Roman" w:cs="Times New Roman"/>
          <w:color w:val="000000"/>
          <w:sz w:val="24"/>
          <w:szCs w:val="24"/>
        </w:rPr>
        <w:t xml:space="preserve"> (SIDO)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2014 - 2019</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5">
        <w:r>
          <w:rPr>
            <w:rFonts w:ascii="Times New Roman" w:eastAsia="Times New Roman" w:hAnsi="Times New Roman" w:cs="Times New Roman"/>
            <w:color w:val="0000FF"/>
            <w:sz w:val="24"/>
            <w:szCs w:val="24"/>
            <w:u w:val="single"/>
          </w:rPr>
          <w:t>https://www.sidomuncul.co.id/id/</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Tempo Scan </w:t>
      </w:r>
      <w:proofErr w:type="spellStart"/>
      <w:r>
        <w:rPr>
          <w:rFonts w:ascii="Times New Roman" w:eastAsia="Times New Roman" w:hAnsi="Times New Roman" w:cs="Times New Roman"/>
          <w:color w:val="000000"/>
          <w:sz w:val="24"/>
          <w:szCs w:val="24"/>
        </w:rPr>
        <w:t>Pasific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Tbk</w:t>
      </w:r>
      <w:proofErr w:type="spellEnd"/>
      <w:r>
        <w:rPr>
          <w:rFonts w:ascii="Times New Roman" w:eastAsia="Times New Roman" w:hAnsi="Times New Roman" w:cs="Times New Roman"/>
          <w:color w:val="000000"/>
          <w:sz w:val="24"/>
          <w:szCs w:val="24"/>
        </w:rPr>
        <w:t xml:space="preserve"> (TSPC)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2014 - 2019</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6">
        <w:r>
          <w:rPr>
            <w:rFonts w:ascii="Times New Roman" w:eastAsia="Times New Roman" w:hAnsi="Times New Roman" w:cs="Times New Roman"/>
            <w:color w:val="0000FF"/>
            <w:sz w:val="24"/>
            <w:szCs w:val="24"/>
            <w:u w:val="single"/>
          </w:rPr>
          <w:t>https://www.idx.co.id/</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7">
        <w:r>
          <w:rPr>
            <w:rFonts w:ascii="Times New Roman" w:eastAsia="Times New Roman" w:hAnsi="Times New Roman" w:cs="Times New Roman"/>
            <w:color w:val="0000FF"/>
            <w:sz w:val="24"/>
            <w:szCs w:val="24"/>
            <w:u w:val="single"/>
          </w:rPr>
          <w:t>http://lembarsaham.com/</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8">
        <w:r>
          <w:rPr>
            <w:rFonts w:ascii="Times New Roman" w:eastAsia="Times New Roman" w:hAnsi="Times New Roman" w:cs="Times New Roman"/>
            <w:color w:val="0000FF"/>
            <w:sz w:val="24"/>
            <w:szCs w:val="24"/>
            <w:u w:val="single"/>
          </w:rPr>
          <w:t>https://id.investing.com/</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hyperlink r:id="rId19">
        <w:r>
          <w:rPr>
            <w:rFonts w:ascii="Times New Roman" w:eastAsia="Times New Roman" w:hAnsi="Times New Roman" w:cs="Times New Roman"/>
            <w:color w:val="0000FF"/>
            <w:sz w:val="24"/>
            <w:szCs w:val="24"/>
            <w:u w:val="single"/>
          </w:rPr>
          <w:t>https://www.wsj.com/</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FF"/>
          <w:sz w:val="24"/>
          <w:szCs w:val="24"/>
          <w:u w:val="single"/>
        </w:rPr>
      </w:pPr>
      <w:hyperlink r:id="rId20">
        <w:r>
          <w:rPr>
            <w:rFonts w:ascii="Times New Roman" w:eastAsia="Times New Roman" w:hAnsi="Times New Roman" w:cs="Times New Roman"/>
            <w:color w:val="0000FF"/>
            <w:sz w:val="24"/>
            <w:szCs w:val="24"/>
            <w:u w:val="single"/>
          </w:rPr>
          <w:t>https://finance.yahoo.com/</w:t>
        </w:r>
      </w:hyperlink>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FF"/>
          <w:sz w:val="24"/>
          <w:szCs w:val="24"/>
          <w:u w:val="single"/>
        </w:rPr>
        <w:t>https://www.bps.go.id/linkTableDinamis/view/id/1062</w:t>
      </w:r>
    </w:p>
    <w:p w:rsidR="00642728" w:rsidRDefault="00A30734" w:rsidP="00B03097">
      <w:pPr>
        <w:widowControl w:val="0"/>
        <w:pBdr>
          <w:top w:val="nil"/>
          <w:left w:val="nil"/>
          <w:bottom w:val="nil"/>
          <w:right w:val="nil"/>
          <w:between w:val="nil"/>
        </w:pBdr>
        <w:spacing w:after="0" w:line="240" w:lineRule="auto"/>
        <w:ind w:right="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https://kebijakankesehatanindonesia.net/datakesehatan/index.php/component/content/article/107-data-fasilitas-rumah-sakit-di-indonesia</w:t>
      </w:r>
    </w:p>
    <w:p w:rsidR="00642728" w:rsidRDefault="00642728" w:rsidP="00B03097">
      <w:pPr>
        <w:widowControl w:val="0"/>
        <w:pBdr>
          <w:top w:val="nil"/>
          <w:left w:val="nil"/>
          <w:bottom w:val="nil"/>
          <w:right w:val="nil"/>
          <w:between w:val="nil"/>
        </w:pBdr>
        <w:spacing w:after="0" w:line="240" w:lineRule="auto"/>
        <w:ind w:left="1080" w:firstLine="360"/>
        <w:jc w:val="both"/>
        <w:rPr>
          <w:rFonts w:ascii="Times New Roman" w:eastAsia="Times New Roman" w:hAnsi="Times New Roman" w:cs="Times New Roman"/>
          <w:b/>
          <w:color w:val="000000"/>
          <w:sz w:val="24"/>
          <w:szCs w:val="24"/>
        </w:rPr>
      </w:pPr>
    </w:p>
    <w:p w:rsidR="00642728" w:rsidRDefault="00642728" w:rsidP="00B03097">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rsidR="00642728" w:rsidRDefault="00A30734" w:rsidP="00B03097">
      <w:pPr>
        <w:widowControl w:val="0"/>
        <w:pBdr>
          <w:top w:val="nil"/>
          <w:left w:val="nil"/>
          <w:bottom w:val="nil"/>
          <w:right w:val="nil"/>
          <w:between w:val="nil"/>
        </w:pBdr>
        <w:tabs>
          <w:tab w:val="left" w:pos="709"/>
        </w:tabs>
        <w:spacing w:after="0" w:line="240" w:lineRule="auto"/>
        <w:ind w:left="360" w:hanging="42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rsidR="00642728" w:rsidRDefault="00642728" w:rsidP="00B03097">
      <w:pPr>
        <w:widowControl w:val="0"/>
        <w:pBdr>
          <w:top w:val="nil"/>
          <w:left w:val="nil"/>
          <w:bottom w:val="nil"/>
          <w:right w:val="nil"/>
          <w:between w:val="nil"/>
        </w:pBdr>
        <w:tabs>
          <w:tab w:val="left" w:pos="709"/>
        </w:tabs>
        <w:spacing w:after="0" w:line="240" w:lineRule="auto"/>
        <w:ind w:left="360" w:hanging="421"/>
        <w:jc w:val="both"/>
        <w:rPr>
          <w:rFonts w:ascii="Times New Roman" w:eastAsia="Times New Roman" w:hAnsi="Times New Roman" w:cs="Times New Roman"/>
          <w:b/>
          <w:color w:val="000000"/>
          <w:sz w:val="24"/>
          <w:szCs w:val="24"/>
        </w:rPr>
      </w:pPr>
    </w:p>
    <w:p w:rsidR="00642728" w:rsidRDefault="00642728" w:rsidP="00B03097">
      <w:pPr>
        <w:spacing w:after="0" w:line="240" w:lineRule="auto"/>
        <w:ind w:firstLine="567"/>
        <w:jc w:val="both"/>
        <w:rPr>
          <w:rFonts w:ascii="Times New Roman" w:eastAsia="Times New Roman" w:hAnsi="Times New Roman" w:cs="Times New Roman"/>
          <w:sz w:val="24"/>
          <w:szCs w:val="24"/>
        </w:rPr>
      </w:pPr>
    </w:p>
    <w:p w:rsidR="00642728" w:rsidRDefault="00642728" w:rsidP="00B03097">
      <w:pPr>
        <w:spacing w:after="0" w:line="240" w:lineRule="auto"/>
        <w:ind w:firstLine="567"/>
        <w:jc w:val="both"/>
        <w:rPr>
          <w:rFonts w:ascii="Times New Roman" w:eastAsia="Times New Roman" w:hAnsi="Times New Roman" w:cs="Times New Roman"/>
          <w:sz w:val="24"/>
          <w:szCs w:val="24"/>
        </w:rPr>
      </w:pPr>
    </w:p>
    <w:p w:rsidR="00642728" w:rsidRDefault="00642728" w:rsidP="00B03097">
      <w:pPr>
        <w:spacing w:line="360" w:lineRule="auto"/>
        <w:jc w:val="both"/>
        <w:rPr>
          <w:rFonts w:ascii="Times New Roman" w:eastAsia="Times New Roman" w:hAnsi="Times New Roman" w:cs="Times New Roman"/>
          <w:b/>
          <w:sz w:val="24"/>
          <w:szCs w:val="24"/>
        </w:rPr>
      </w:pPr>
    </w:p>
    <w:sectPr w:rsidR="00642728" w:rsidSect="00A30734">
      <w:footerReference w:type="default" r:id="rId21"/>
      <w:footerReference w:type="first" r:id="rId22"/>
      <w:pgSz w:w="11907" w:h="16840" w:code="9"/>
      <w:pgMar w:top="1701" w:right="1701" w:bottom="2268" w:left="226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4C" w:rsidRDefault="00B7124C">
      <w:pPr>
        <w:spacing w:after="0" w:line="240" w:lineRule="auto"/>
      </w:pPr>
      <w:r>
        <w:separator/>
      </w:r>
    </w:p>
  </w:endnote>
  <w:endnote w:type="continuationSeparator" w:id="0">
    <w:p w:rsidR="00B7124C" w:rsidRDefault="00B7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734" w:rsidRDefault="00A30734">
    <w:pPr>
      <w:widowControl w:val="0"/>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03097">
      <w:rPr>
        <w:rFonts w:ascii="Times New Roman" w:eastAsia="Times New Roman" w:hAnsi="Times New Roman" w:cs="Times New Roman"/>
        <w:noProof/>
        <w:color w:val="000000"/>
      </w:rPr>
      <w:t>20</w:t>
    </w:r>
    <w:r>
      <w:rPr>
        <w:rFonts w:ascii="Times New Roman" w:eastAsia="Times New Roman" w:hAnsi="Times New Roman" w:cs="Times New Roman"/>
        <w:color w:val="000000"/>
      </w:rPr>
      <w:fldChar w:fldCharType="end"/>
    </w:r>
  </w:p>
  <w:p w:rsidR="00A30734" w:rsidRDefault="00A30734">
    <w:pPr>
      <w:widowControl w:val="0"/>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p w:rsidR="00A30734" w:rsidRDefault="00A307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734" w:rsidRDefault="00A30734">
    <w:pPr>
      <w:widowControl w:val="0"/>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rsidR="00A30734" w:rsidRDefault="00A30734">
    <w:pPr>
      <w:widowControl w:val="0"/>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p w:rsidR="00A30734" w:rsidRDefault="00A307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4C" w:rsidRDefault="00B7124C">
      <w:pPr>
        <w:spacing w:after="0" w:line="240" w:lineRule="auto"/>
      </w:pPr>
      <w:r>
        <w:separator/>
      </w:r>
    </w:p>
  </w:footnote>
  <w:footnote w:type="continuationSeparator" w:id="0">
    <w:p w:rsidR="00B7124C" w:rsidRDefault="00B71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0B83"/>
    <w:multiLevelType w:val="multilevel"/>
    <w:tmpl w:val="84983EC2"/>
    <w:lvl w:ilvl="0">
      <w:start w:val="1"/>
      <w:numFmt w:val="decimal"/>
      <w:lvlText w:val="%1."/>
      <w:lvlJc w:val="left"/>
      <w:pPr>
        <w:ind w:left="720" w:hanging="360"/>
      </w:pPr>
    </w:lvl>
    <w:lvl w:ilvl="1">
      <w:start w:val="1"/>
      <w:numFmt w:val="decimal"/>
      <w:lvlText w:val="%1.%2"/>
      <w:lvlJc w:val="left"/>
      <w:pPr>
        <w:ind w:left="1240" w:hanging="360"/>
      </w:pPr>
      <w:rPr>
        <w:rFonts w:ascii="Calibri" w:eastAsia="Calibri" w:hAnsi="Calibri" w:cs="Calibri"/>
      </w:rPr>
    </w:lvl>
    <w:lvl w:ilvl="2">
      <w:start w:val="1"/>
      <w:numFmt w:val="decimal"/>
      <w:lvlText w:val="%1.%2.%3"/>
      <w:lvlJc w:val="left"/>
      <w:pPr>
        <w:ind w:left="1800" w:hanging="720"/>
      </w:pPr>
      <w:rPr>
        <w:rFonts w:ascii="Calibri" w:eastAsia="Calibri" w:hAnsi="Calibri" w:cs="Calibri"/>
      </w:rPr>
    </w:lvl>
    <w:lvl w:ilvl="3">
      <w:start w:val="1"/>
      <w:numFmt w:val="decimal"/>
      <w:lvlText w:val="%1.%2.%3.%4"/>
      <w:lvlJc w:val="left"/>
      <w:pPr>
        <w:ind w:left="2160" w:hanging="720"/>
      </w:pPr>
      <w:rPr>
        <w:rFonts w:ascii="Calibri" w:eastAsia="Calibri" w:hAnsi="Calibri" w:cs="Calibri"/>
      </w:rPr>
    </w:lvl>
    <w:lvl w:ilvl="4">
      <w:start w:val="1"/>
      <w:numFmt w:val="decimal"/>
      <w:lvlText w:val="%1.%2.%3.%4.%5"/>
      <w:lvlJc w:val="left"/>
      <w:pPr>
        <w:ind w:left="2880" w:hanging="1080"/>
      </w:pPr>
      <w:rPr>
        <w:rFonts w:ascii="Calibri" w:eastAsia="Calibri" w:hAnsi="Calibri" w:cs="Calibri"/>
      </w:rPr>
    </w:lvl>
    <w:lvl w:ilvl="5">
      <w:start w:val="1"/>
      <w:numFmt w:val="decimal"/>
      <w:lvlText w:val="%1.%2.%3.%4.%5.%6"/>
      <w:lvlJc w:val="left"/>
      <w:pPr>
        <w:ind w:left="3240" w:hanging="1080"/>
      </w:pPr>
      <w:rPr>
        <w:rFonts w:ascii="Calibri" w:eastAsia="Calibri" w:hAnsi="Calibri" w:cs="Calibri"/>
      </w:rPr>
    </w:lvl>
    <w:lvl w:ilvl="6">
      <w:start w:val="1"/>
      <w:numFmt w:val="decimal"/>
      <w:lvlText w:val="%1.%2.%3.%4.%5.%6.%7"/>
      <w:lvlJc w:val="left"/>
      <w:pPr>
        <w:ind w:left="3960" w:hanging="1440"/>
      </w:pPr>
      <w:rPr>
        <w:rFonts w:ascii="Calibri" w:eastAsia="Calibri" w:hAnsi="Calibri" w:cs="Calibri"/>
      </w:rPr>
    </w:lvl>
    <w:lvl w:ilvl="7">
      <w:start w:val="1"/>
      <w:numFmt w:val="decimal"/>
      <w:lvlText w:val="%1.%2.%3.%4.%5.%6.%7.%8"/>
      <w:lvlJc w:val="left"/>
      <w:pPr>
        <w:ind w:left="4320" w:hanging="1440"/>
      </w:pPr>
      <w:rPr>
        <w:rFonts w:ascii="Calibri" w:eastAsia="Calibri" w:hAnsi="Calibri" w:cs="Calibri"/>
      </w:rPr>
    </w:lvl>
    <w:lvl w:ilvl="8">
      <w:start w:val="1"/>
      <w:numFmt w:val="decimal"/>
      <w:lvlText w:val="%1.%2.%3.%4.%5.%6.%7.%8.%9"/>
      <w:lvlJc w:val="left"/>
      <w:pPr>
        <w:ind w:left="5040" w:hanging="1800"/>
      </w:pPr>
      <w:rPr>
        <w:rFonts w:ascii="Calibri" w:eastAsia="Calibri" w:hAnsi="Calibri" w:cs="Calibri"/>
      </w:rPr>
    </w:lvl>
  </w:abstractNum>
  <w:abstractNum w:abstractNumId="1">
    <w:nsid w:val="61E96235"/>
    <w:multiLevelType w:val="hybridMultilevel"/>
    <w:tmpl w:val="8EF4B25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2728"/>
    <w:rsid w:val="00347E38"/>
    <w:rsid w:val="00642728"/>
    <w:rsid w:val="00A30734"/>
    <w:rsid w:val="00B03097"/>
    <w:rsid w:val="00B7124C"/>
    <w:rsid w:val="00C7392A"/>
    <w:rsid w:val="00CB7CC8"/>
    <w:rsid w:val="00D80741"/>
    <w:rsid w:val="00DA5579"/>
    <w:rsid w:val="00E056A4"/>
    <w:rsid w:val="00F525EF"/>
    <w:rsid w:val="00F91D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widowControl w:val="0"/>
      <w:spacing w:before="40" w:after="0" w:line="240" w:lineRule="auto"/>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F52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widowControl w:val="0"/>
      <w:spacing w:before="40" w:after="0" w:line="240" w:lineRule="auto"/>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F52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dinimanajemen@gmail.com" TargetMode="External"/><Relationship Id="rId13" Type="http://schemas.openxmlformats.org/officeDocument/2006/relationships/hyperlink" Target="https://www.merckgroup.com/id-id" TargetMode="External"/><Relationship Id="rId18" Type="http://schemas.openxmlformats.org/officeDocument/2006/relationships/hyperlink" Target="https://id.investing.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kalbe.co.id/" TargetMode="External"/><Relationship Id="rId17" Type="http://schemas.openxmlformats.org/officeDocument/2006/relationships/hyperlink" Target="http://lembarsaham.com/" TargetMode="External"/><Relationship Id="rId2" Type="http://schemas.openxmlformats.org/officeDocument/2006/relationships/styles" Target="styles.xml"/><Relationship Id="rId16" Type="http://schemas.openxmlformats.org/officeDocument/2006/relationships/hyperlink" Target="https://www.idx.co.id/" TargetMode="External"/><Relationship Id="rId20" Type="http://schemas.openxmlformats.org/officeDocument/2006/relationships/hyperlink" Target="https://finance.yahoo.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imiafarma.co.id/index.php?lang=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domuncul.co.id/id/" TargetMode="External"/><Relationship Id="rId23" Type="http://schemas.openxmlformats.org/officeDocument/2006/relationships/fontTable" Target="fontTable.xml"/><Relationship Id="rId10" Type="http://schemas.openxmlformats.org/officeDocument/2006/relationships/hyperlink" Target="http://www.darya-varia.com/" TargetMode="External"/><Relationship Id="rId19" Type="http://schemas.openxmlformats.org/officeDocument/2006/relationships/hyperlink" Target="https://www.wsj.com/" TargetMode="External"/><Relationship Id="rId4" Type="http://schemas.openxmlformats.org/officeDocument/2006/relationships/settings" Target="settings.xml"/><Relationship Id="rId9" Type="http://schemas.openxmlformats.org/officeDocument/2006/relationships/hyperlink" Target="http://bbs.binus.edu/journal/RndData/Journal/Data/20110923100700.pdf" TargetMode="External"/><Relationship Id="rId14" Type="http://schemas.openxmlformats.org/officeDocument/2006/relationships/hyperlink" Target="https://www.pyfa.co.i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7663</Words>
  <Characters>43681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dcterms:created xsi:type="dcterms:W3CDTF">2021-05-25T19:13:00Z</dcterms:created>
  <dcterms:modified xsi:type="dcterms:W3CDTF">2021-05-25T19:13:00Z</dcterms:modified>
</cp:coreProperties>
</file>